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3D4A1C" w14:textId="3608F87E" w:rsidR="00791DE9" w:rsidRDefault="00791DE9" w:rsidP="00791DE9">
      <w:pPr>
        <w:pStyle w:val="BodyText"/>
      </w:pPr>
      <w:bookmarkStart w:id="0" w:name="bkmrk_EAP_All"/>
      <w:r w:rsidRPr="00C245C4">
        <w:t xml:space="preserve">Anthem strives to provide excellent value by improving affordable access to quality healthcare </w:t>
      </w:r>
      <w:r w:rsidRPr="00791808">
        <w:t>for our customers.  We are confident that we will deliver outstanding service for</w:t>
      </w:r>
      <w:r w:rsidR="001C64D9">
        <w:t xml:space="preserve"> </w:t>
      </w:r>
      <w:r w:rsidR="00297DA7">
        <w:t>State of Indiana</w:t>
      </w:r>
      <w:r>
        <w:t xml:space="preserve">. </w:t>
      </w:r>
      <w:r w:rsidRPr="00791808">
        <w:t>As such, we are placing administrative fees at risk to meet certain criteria as outlined below</w:t>
      </w:r>
      <w:r>
        <w:t>.</w:t>
      </w:r>
    </w:p>
    <w:p w14:paraId="3150CE78" w14:textId="77777777" w:rsidR="00791DE9" w:rsidRDefault="00791DE9" w:rsidP="00791DE9">
      <w:pPr>
        <w:pStyle w:val="Heading2"/>
      </w:pPr>
      <w:r>
        <w:t>A summary of our guarantees</w:t>
      </w:r>
    </w:p>
    <w:p w14:paraId="040D9136" w14:textId="77777777" w:rsidR="00791DE9" w:rsidRDefault="00791DE9" w:rsidP="00791DE9">
      <w:pPr>
        <w:pStyle w:val="BodyText"/>
      </w:pPr>
      <w:r>
        <w:t xml:space="preserve">This is a summary of the performance guarantees that Anthem offers for the U.S. population. </w:t>
      </w:r>
      <w:r w:rsidRPr="00852CB1">
        <w:t xml:space="preserve">The final terms and conditions of the Performance Guarantees contained </w:t>
      </w:r>
      <w:r>
        <w:t>here</w:t>
      </w:r>
      <w:r w:rsidRPr="00852CB1">
        <w:t xml:space="preserve">in are subject to finalization of the contract language in the Administrative Services Agreement. </w:t>
      </w:r>
      <w:r>
        <w:t>It is not a legal contract. If this summary conflicts with the Administrative Services Agreement, any Schedules or Attachments, the Administrative Services Agreement controls.</w:t>
      </w:r>
    </w:p>
    <w:p w14:paraId="17888043" w14:textId="3E56ADCE" w:rsidR="00791DE9" w:rsidRDefault="00791DE9" w:rsidP="00791DE9">
      <w:pPr>
        <w:pStyle w:val="BodyText"/>
      </w:pPr>
      <w:r>
        <w:t xml:space="preserve">These guarantees apply to the </w:t>
      </w:r>
      <w:r w:rsidR="00297DA7">
        <w:t>State of Indiana</w:t>
      </w:r>
      <w:r>
        <w:t xml:space="preserve"> </w:t>
      </w:r>
      <w:r w:rsidRPr="00C245C4">
        <w:t>EAP plan</w:t>
      </w:r>
      <w:r>
        <w:t>.</w:t>
      </w:r>
    </w:p>
    <w:p w14:paraId="6AAD544B" w14:textId="77777777" w:rsidR="00791DE9" w:rsidRPr="006F241B" w:rsidRDefault="00791DE9" w:rsidP="00791DE9">
      <w:pPr>
        <w:pStyle w:val="Heading2"/>
      </w:pPr>
      <w:r>
        <w:t xml:space="preserve">More about the </w:t>
      </w:r>
      <w:r w:rsidRPr="006F241B">
        <w:t>guarantees</w:t>
      </w:r>
    </w:p>
    <w:p w14:paraId="1687A5CD" w14:textId="43350FE8" w:rsidR="00791DE9" w:rsidRPr="006F241B" w:rsidRDefault="00791DE9" w:rsidP="00791DE9">
      <w:pPr>
        <w:pStyle w:val="BodyText"/>
      </w:pPr>
      <w:r w:rsidRPr="006F241B">
        <w:t>All gua</w:t>
      </w:r>
      <w:r>
        <w:t xml:space="preserve">rantees will be </w:t>
      </w:r>
      <w:r w:rsidRPr="00412745">
        <w:t xml:space="preserve">effective from </w:t>
      </w:r>
      <w:r w:rsidR="00CC0F16">
        <w:t>01</w:t>
      </w:r>
      <w:r w:rsidR="00297DA7">
        <w:t>/01/22</w:t>
      </w:r>
      <w:r w:rsidR="00346A8F">
        <w:t xml:space="preserve"> </w:t>
      </w:r>
      <w:r w:rsidR="00724D9E">
        <w:t>-12/31/2</w:t>
      </w:r>
      <w:r w:rsidR="00297DA7">
        <w:t>5</w:t>
      </w:r>
      <w:r w:rsidRPr="00412745">
        <w:t xml:space="preserve"> unless</w:t>
      </w:r>
      <w:r w:rsidRPr="006F241B">
        <w:t xml:space="preserve"> otherwise noted. The guarantees are measured and settled annually, with exceptions specified.</w:t>
      </w:r>
    </w:p>
    <w:p w14:paraId="6CF07A2B" w14:textId="77777777" w:rsidR="00791DE9" w:rsidRPr="006F241B" w:rsidRDefault="00791DE9" w:rsidP="00791DE9">
      <w:pPr>
        <w:pStyle w:val="BodyText"/>
        <w:spacing w:after="60"/>
      </w:pPr>
      <w:r w:rsidRPr="006F241B">
        <w:t>These guarantees cover aspects of p</w:t>
      </w:r>
      <w:r>
        <w:t>erformance that are related to Anthem</w:t>
      </w:r>
      <w:r w:rsidRPr="006F241B">
        <w:t>’s control. Listed below are potential reasons that may alter the terms of the guarantees:</w:t>
      </w:r>
    </w:p>
    <w:p w14:paraId="608BB583" w14:textId="77777777" w:rsidR="00791DE9" w:rsidRPr="00661C58" w:rsidRDefault="00791DE9" w:rsidP="00791DE9">
      <w:pPr>
        <w:pStyle w:val="Bullet"/>
        <w:numPr>
          <w:ilvl w:val="0"/>
          <w:numId w:val="18"/>
        </w:numPr>
      </w:pPr>
      <w:r w:rsidRPr="00661C58">
        <w:t>A change to the Plan benefits that result in a substantial change in t</w:t>
      </w:r>
      <w:r>
        <w:t>he services to be performed by Anthem or the measurement of a Performance Guarantee</w:t>
      </w:r>
      <w:r w:rsidRPr="00661C58">
        <w:t>.</w:t>
      </w:r>
    </w:p>
    <w:p w14:paraId="6ABF4006" w14:textId="77777777" w:rsidR="00791DE9" w:rsidRDefault="00791DE9" w:rsidP="00791DE9">
      <w:pPr>
        <w:pStyle w:val="Bullet"/>
        <w:numPr>
          <w:ilvl w:val="0"/>
          <w:numId w:val="18"/>
        </w:numPr>
      </w:pPr>
      <w:r w:rsidRPr="00661C58">
        <w:t xml:space="preserve">Your </w:t>
      </w:r>
      <w:r>
        <w:t>number of enrolled Subscribers changes</w:t>
      </w:r>
      <w:r w:rsidRPr="00661C58">
        <w:t xml:space="preserve"> by 10% or more</w:t>
      </w:r>
      <w:r>
        <w:t xml:space="preserve"> over the course of the contract period.</w:t>
      </w:r>
    </w:p>
    <w:p w14:paraId="4608136D" w14:textId="77777777" w:rsidR="00791DE9" w:rsidRPr="00661C58" w:rsidRDefault="00791DE9" w:rsidP="00791DE9">
      <w:pPr>
        <w:pStyle w:val="Bullet"/>
        <w:numPr>
          <w:ilvl w:val="0"/>
          <w:numId w:val="18"/>
        </w:numPr>
      </w:pPr>
      <w:r>
        <w:t>Changes in law.</w:t>
      </w:r>
    </w:p>
    <w:p w14:paraId="3EDE0FFE" w14:textId="77777777" w:rsidR="00791DE9" w:rsidRPr="00661C58" w:rsidRDefault="00791DE9" w:rsidP="00791DE9">
      <w:pPr>
        <w:pStyle w:val="Bullet"/>
        <w:numPr>
          <w:ilvl w:val="0"/>
          <w:numId w:val="18"/>
        </w:numPr>
      </w:pPr>
      <w:r w:rsidRPr="00661C58">
        <w:t>We don’t receive information or other support from you that would allow us to meet the Guarantee.</w:t>
      </w:r>
    </w:p>
    <w:p w14:paraId="6818637B" w14:textId="77777777" w:rsidR="00791DE9" w:rsidRPr="00661C58" w:rsidRDefault="00791DE9" w:rsidP="00791DE9">
      <w:pPr>
        <w:pStyle w:val="Bullet"/>
        <w:numPr>
          <w:ilvl w:val="0"/>
          <w:numId w:val="18"/>
        </w:numPr>
      </w:pPr>
      <w:r w:rsidRPr="00661C58">
        <w:t>There is no executed Administrative Services Agreement on file.</w:t>
      </w:r>
    </w:p>
    <w:p w14:paraId="0AAD4838" w14:textId="77777777" w:rsidR="00791DE9" w:rsidRPr="00661C58" w:rsidRDefault="00791DE9" w:rsidP="00791DE9">
      <w:pPr>
        <w:pStyle w:val="Bullet"/>
        <w:numPr>
          <w:ilvl w:val="0"/>
          <w:numId w:val="18"/>
        </w:numPr>
      </w:pPr>
      <w:r w:rsidRPr="00661C58">
        <w:lastRenderedPageBreak/>
        <w:t xml:space="preserve">Circumstances beyond our control including but not limited to any act of God, civil riot, floods, fire, acts of terrorists, acts of war </w:t>
      </w:r>
      <w:proofErr w:type="gramStart"/>
      <w:r w:rsidRPr="00661C58">
        <w:t>or  power</w:t>
      </w:r>
      <w:proofErr w:type="gramEnd"/>
      <w:r w:rsidRPr="00661C58">
        <w:t xml:space="preserve"> outages that delay our performance or that of our vendors.</w:t>
      </w:r>
    </w:p>
    <w:p w14:paraId="34B83A5A" w14:textId="77777777" w:rsidR="00791DE9" w:rsidRPr="00661C58" w:rsidRDefault="00791DE9" w:rsidP="00791DE9">
      <w:pPr>
        <w:pStyle w:val="Bullet"/>
        <w:numPr>
          <w:ilvl w:val="0"/>
          <w:numId w:val="18"/>
        </w:numPr>
      </w:pPr>
      <w:r w:rsidRPr="00661C58">
        <w:t xml:space="preserve">You terminate the Agreement before the end of a Performance Period, or we terminate it </w:t>
      </w:r>
      <w:r>
        <w:t>due to</w:t>
      </w:r>
      <w:r w:rsidRPr="00661C58">
        <w:t xml:space="preserve"> non-payment.</w:t>
      </w:r>
    </w:p>
    <w:p w14:paraId="1AA35667" w14:textId="77777777" w:rsidR="00791DE9" w:rsidRPr="00661C58" w:rsidRDefault="00791DE9" w:rsidP="00791DE9">
      <w:pPr>
        <w:pStyle w:val="Bullet"/>
        <w:numPr>
          <w:ilvl w:val="0"/>
          <w:numId w:val="18"/>
        </w:numPr>
      </w:pPr>
      <w:r w:rsidRPr="00661C58">
        <w:t xml:space="preserve">You terminate participation in particular programs </w:t>
      </w:r>
      <w:r>
        <w:t>tied to Performance Guarantees</w:t>
      </w:r>
      <w:r w:rsidRPr="00661C58">
        <w:t xml:space="preserve"> prior to completion of the Measurement Period.  </w:t>
      </w:r>
    </w:p>
    <w:p w14:paraId="073680BE" w14:textId="77777777" w:rsidR="00791DE9" w:rsidRDefault="00791DE9" w:rsidP="00791DE9">
      <w:pPr>
        <w:pStyle w:val="Heading2"/>
      </w:pPr>
      <w:r>
        <w:t>General Terms</w:t>
      </w:r>
    </w:p>
    <w:p w14:paraId="50F5ABE6" w14:textId="77777777" w:rsidR="00791DE9" w:rsidRPr="00661C58" w:rsidRDefault="00791DE9" w:rsidP="00791DE9">
      <w:pPr>
        <w:pStyle w:val="Bullet"/>
        <w:numPr>
          <w:ilvl w:val="0"/>
          <w:numId w:val="20"/>
        </w:numPr>
      </w:pPr>
      <w:r w:rsidRPr="00661C58">
        <w:t>Performance Category. The term Performance Category describes the general type of Performance Guarantee.</w:t>
      </w:r>
    </w:p>
    <w:p w14:paraId="7BD07D34" w14:textId="77777777" w:rsidR="00791DE9" w:rsidRPr="00661C58" w:rsidRDefault="00791DE9" w:rsidP="00791DE9">
      <w:pPr>
        <w:pStyle w:val="Bullet"/>
        <w:numPr>
          <w:ilvl w:val="0"/>
          <w:numId w:val="20"/>
        </w:numPr>
      </w:pPr>
      <w:r w:rsidRPr="00661C58">
        <w:t>Reporting Period. The term reporting</w:t>
      </w:r>
      <w:r>
        <w:t xml:space="preserve"> Period refers to how often Anthem</w:t>
      </w:r>
      <w:r w:rsidRPr="00661C58">
        <w:t xml:space="preserve"> will report on its performance under a Performance Guarantee.</w:t>
      </w:r>
    </w:p>
    <w:p w14:paraId="08602E41" w14:textId="77777777" w:rsidR="00791DE9" w:rsidRDefault="00791DE9" w:rsidP="00791DE9">
      <w:pPr>
        <w:pStyle w:val="Bullet"/>
        <w:numPr>
          <w:ilvl w:val="0"/>
          <w:numId w:val="19"/>
        </w:numPr>
      </w:pPr>
      <w:r>
        <w:t xml:space="preserve">Measurement Period. The term Measurement Period is the </w:t>
      </w:r>
      <w:proofErr w:type="gramStart"/>
      <w:r>
        <w:t>period of time</w:t>
      </w:r>
      <w:proofErr w:type="gramEnd"/>
      <w:r>
        <w:t xml:space="preserve"> under which’s performance is measured, which may be the same as or differ from the period of time equal to the Performance Period.</w:t>
      </w:r>
    </w:p>
    <w:p w14:paraId="6CDB188D" w14:textId="77777777" w:rsidR="00791DE9" w:rsidRDefault="00791DE9" w:rsidP="00791DE9">
      <w:pPr>
        <w:pStyle w:val="Bullet"/>
        <w:numPr>
          <w:ilvl w:val="0"/>
          <w:numId w:val="19"/>
        </w:numPr>
      </w:pPr>
      <w:r>
        <w:t>Penalty Calculation. The term Penalty Calculation generally refers to how [Anthem]’s payment will be calculated, in the event Anthem does not meet the target(s) specified under the Performance Guarantee.</w:t>
      </w:r>
    </w:p>
    <w:p w14:paraId="2C49C81E" w14:textId="77777777" w:rsidR="00791DE9" w:rsidRDefault="00791DE9" w:rsidP="00791DE9">
      <w:pPr>
        <w:pStyle w:val="Bullet"/>
        <w:numPr>
          <w:ilvl w:val="0"/>
          <w:numId w:val="19"/>
        </w:numPr>
      </w:pPr>
      <w:r>
        <w:t>Amount at Risk. The term Amount at Risk means the amount Anthem may pay if it fails to meet the targets specified under the Performance Guarantees.</w:t>
      </w:r>
    </w:p>
    <w:p w14:paraId="258EFA25" w14:textId="77777777" w:rsidR="00791DE9" w:rsidRPr="00445300" w:rsidRDefault="00791DE9" w:rsidP="00791DE9">
      <w:pPr>
        <w:pStyle w:val="Bullet"/>
        <w:numPr>
          <w:ilvl w:val="0"/>
          <w:numId w:val="19"/>
        </w:numPr>
      </w:pPr>
      <w:r w:rsidRPr="00445300">
        <w:t xml:space="preserve">Some Performance Guarantees measure and compare year to year performance. The term Baseline Period refers to the equivalent </w:t>
      </w:r>
      <w:proofErr w:type="gramStart"/>
      <w:r w:rsidRPr="00445300">
        <w:t>time period</w:t>
      </w:r>
      <w:proofErr w:type="gramEnd"/>
      <w:r w:rsidRPr="00445300">
        <w:t xml:space="preserve"> preceding the Measurement Period.</w:t>
      </w:r>
    </w:p>
    <w:p w14:paraId="791F2FB6" w14:textId="77777777" w:rsidR="00791DE9" w:rsidRDefault="00791DE9" w:rsidP="00791DE9">
      <w:pPr>
        <w:pStyle w:val="Bullet"/>
        <w:numPr>
          <w:ilvl w:val="0"/>
          <w:numId w:val="19"/>
        </w:numPr>
      </w:pPr>
      <w:r w:rsidRPr="00445300">
        <w:t>Performance Guarantees may be measured using either aggregated data or Employer-specific Data.  The term Employer-specific Data means the data associated with Employer’s Plan that has not been aggregated with other employer data. Performance Guarantees will specify if Employer-specific Data shall be used for purposes of measuring performance under the Performance Guarantee.</w:t>
      </w:r>
    </w:p>
    <w:p w14:paraId="3C7643E4" w14:textId="77777777" w:rsidR="00791DE9" w:rsidRDefault="00791DE9" w:rsidP="00CD591C">
      <w:pPr>
        <w:pStyle w:val="Bullet"/>
        <w:numPr>
          <w:ilvl w:val="0"/>
          <w:numId w:val="19"/>
        </w:numPr>
      </w:pPr>
      <w:r w:rsidRPr="008A3F12">
        <w:t>Anthem has the right to offset any amounts owed to Employer under any of the Performance Guarantees contained in the Attachments to this Schedule C against any amounts owed by Employer to Anthem under: (1) any Performance Guarantees contained in the Attachments to this Schedule C; (2</w:t>
      </w:r>
      <w:proofErr w:type="gramStart"/>
      <w:r w:rsidRPr="008A3F12">
        <w:t>)  the</w:t>
      </w:r>
      <w:proofErr w:type="gramEnd"/>
      <w:r w:rsidRPr="008A3F12">
        <w:t xml:space="preserve"> Agreement; or, (3) any applicable Stop Loss Policy</w:t>
      </w:r>
    </w:p>
    <w:p w14:paraId="20175586" w14:textId="77777777" w:rsidR="00791DE9" w:rsidRPr="00EB6E07" w:rsidRDefault="00791DE9" w:rsidP="00CD591C">
      <w:pPr>
        <w:pStyle w:val="ListParagraph"/>
        <w:numPr>
          <w:ilvl w:val="0"/>
          <w:numId w:val="19"/>
        </w:numPr>
        <w:spacing w:after="60" w:line="260" w:lineRule="exact"/>
        <w:jc w:val="both"/>
        <w:rPr>
          <w:rFonts w:ascii="Arial" w:hAnsi="Arial" w:cs="Arial"/>
          <w:sz w:val="20"/>
          <w:szCs w:val="20"/>
        </w:rPr>
      </w:pPr>
      <w:r w:rsidRPr="00EB6E07">
        <w:rPr>
          <w:rFonts w:ascii="Arial" w:hAnsi="Arial" w:cs="Arial"/>
          <w:sz w:val="20"/>
          <w:szCs w:val="20"/>
        </w:rPr>
        <w:t>Identified Members are Members who are identified by Anthem as appropriate for inclusion in the measured population, the selection criteria for which may be modified from time to time.</w:t>
      </w:r>
    </w:p>
    <w:p w14:paraId="28B05541" w14:textId="77777777" w:rsidR="00CD591C" w:rsidRPr="00CD591C" w:rsidRDefault="00791DE9" w:rsidP="00CD591C">
      <w:pPr>
        <w:pStyle w:val="ListParagraph"/>
        <w:numPr>
          <w:ilvl w:val="0"/>
          <w:numId w:val="19"/>
        </w:numPr>
        <w:spacing w:after="60" w:line="260" w:lineRule="exact"/>
        <w:jc w:val="both"/>
        <w:rPr>
          <w:rFonts w:ascii="Arial" w:hAnsi="Arial" w:cs="Arial"/>
          <w:sz w:val="18"/>
          <w:szCs w:val="18"/>
        </w:rPr>
      </w:pPr>
      <w:r w:rsidRPr="00EB6E07">
        <w:rPr>
          <w:rFonts w:ascii="Arial" w:hAnsi="Arial" w:cs="Arial"/>
          <w:sz w:val="20"/>
          <w:szCs w:val="20"/>
        </w:rPr>
        <w:t>Employer shall provide the historical eligibility information and the historical medical and Prescription Drug Claims in the form and for the time frame required by Anthem followed by monthly refreshes of Claims and Prescription Drug data from third party payers other than Anthem.  All data must be materially complete and in the agreed upon format.  Failure by Employer to provide any data in the time frame and format required by Anthem will nullify the applicable Performance Guarantee.</w:t>
      </w:r>
    </w:p>
    <w:p w14:paraId="64C67516" w14:textId="20F0391A" w:rsidR="00177103" w:rsidRDefault="00CD591C" w:rsidP="00791DE9">
      <w:pPr>
        <w:pStyle w:val="ListParagraph"/>
        <w:numPr>
          <w:ilvl w:val="0"/>
          <w:numId w:val="19"/>
        </w:numPr>
        <w:spacing w:after="60" w:line="260" w:lineRule="exact"/>
        <w:jc w:val="both"/>
        <w:rPr>
          <w:rFonts w:ascii="Arial" w:hAnsi="Arial" w:cs="Arial"/>
          <w:sz w:val="18"/>
          <w:szCs w:val="18"/>
        </w:rPr>
      </w:pPr>
      <w:r w:rsidRPr="00077925">
        <w:rPr>
          <w:rFonts w:ascii="Arial" w:hAnsi="Arial" w:cs="Arial"/>
          <w:bCs/>
          <w:sz w:val="20"/>
          <w:szCs w:val="20"/>
        </w:rPr>
        <w:t>The terms of all PGs, including targets and fees at risk, are subject to change once more is known about the impact of COVID-19.</w:t>
      </w:r>
      <w:r w:rsidR="00791DE9" w:rsidRPr="00EB6E07">
        <w:rPr>
          <w:rFonts w:ascii="Arial" w:hAnsi="Arial" w:cs="Arial"/>
          <w:sz w:val="20"/>
          <w:szCs w:val="20"/>
        </w:rPr>
        <w:t> </w:t>
      </w:r>
      <w:r w:rsidR="00791DE9">
        <w:rPr>
          <w:rFonts w:ascii="Arial" w:hAnsi="Arial" w:cs="Arial"/>
          <w:sz w:val="18"/>
          <w:szCs w:val="18"/>
        </w:rPr>
        <w:t xml:space="preserve"> </w:t>
      </w:r>
    </w:p>
    <w:p w14:paraId="3ACB4D66" w14:textId="77777777" w:rsidR="00177103" w:rsidRPr="00177103" w:rsidRDefault="00177103" w:rsidP="00177103">
      <w:pPr>
        <w:spacing w:after="60" w:line="260" w:lineRule="exact"/>
        <w:jc w:val="both"/>
        <w:rPr>
          <w:rFonts w:ascii="Arial" w:hAnsi="Arial" w:cs="Arial"/>
          <w:sz w:val="18"/>
          <w:szCs w:val="18"/>
        </w:rPr>
      </w:pPr>
    </w:p>
    <w:p w14:paraId="2FDFDA1A" w14:textId="557E2E63" w:rsidR="00791DE9" w:rsidRDefault="00791DE9" w:rsidP="00791DE9">
      <w:pPr>
        <w:pStyle w:val="Heading2"/>
      </w:pPr>
      <w:r>
        <w:lastRenderedPageBreak/>
        <w:t>Amount at Risk</w:t>
      </w:r>
    </w:p>
    <w:p w14:paraId="39BEED50" w14:textId="7861DF90" w:rsidR="00791DE9" w:rsidRPr="00F87C73" w:rsidRDefault="00791DE9" w:rsidP="00791DE9">
      <w:pPr>
        <w:pStyle w:val="BodyText"/>
      </w:pPr>
      <w:r w:rsidRPr="005A177D">
        <w:t xml:space="preserve">The total amount at risk for the below </w:t>
      </w:r>
      <w:r w:rsidRPr="00612518">
        <w:t xml:space="preserve">performance guarantees between Anthem and </w:t>
      </w:r>
      <w:r w:rsidR="00297DA7">
        <w:t>State of Indiana</w:t>
      </w:r>
      <w:r>
        <w:t xml:space="preserve"> </w:t>
      </w:r>
      <w:r w:rsidRPr="00612518">
        <w:t>s</w:t>
      </w:r>
      <w:r w:rsidRPr="00F87C73">
        <w:t xml:space="preserve">hall not exceed the following:  </w:t>
      </w:r>
      <w:bookmarkStart w:id="1" w:name="bkmrk_EAP_Total"/>
    </w:p>
    <w:p w14:paraId="40FA97B7" w14:textId="7A09CBE2" w:rsidR="00724D9E" w:rsidRPr="00961DF6" w:rsidRDefault="00B168C2" w:rsidP="00922231">
      <w:pPr>
        <w:pStyle w:val="BodyText"/>
        <w:numPr>
          <w:ilvl w:val="0"/>
          <w:numId w:val="21"/>
        </w:numPr>
        <w:spacing w:after="0"/>
      </w:pPr>
      <w:r>
        <w:t>16</w:t>
      </w:r>
      <w:r w:rsidR="00791DE9" w:rsidRPr="00961DF6">
        <w:t xml:space="preserve">% of EAP fees </w:t>
      </w:r>
      <w:r w:rsidR="00922231">
        <w:t>annually</w:t>
      </w:r>
    </w:p>
    <w:p w14:paraId="42C5F7FC" w14:textId="77777777" w:rsidR="00791DE9" w:rsidRPr="000B7F20" w:rsidRDefault="00791DE9" w:rsidP="00791DE9">
      <w:pPr>
        <w:pStyle w:val="BodyText"/>
        <w:spacing w:after="0"/>
        <w:ind w:left="720"/>
      </w:pPr>
    </w:p>
    <w:bookmarkEnd w:id="1"/>
    <w:p w14:paraId="3FC75F48" w14:textId="77777777" w:rsidR="00791DE9" w:rsidRPr="000B7F20" w:rsidRDefault="00791DE9" w:rsidP="00346A8F">
      <w:pPr>
        <w:pStyle w:val="BodyText"/>
        <w:spacing w:after="240"/>
      </w:pPr>
      <w:r w:rsidRPr="000B7F20">
        <w:t>Confirmation of all applicable fees for the performance guarantees will be reflected in Employer’s Schedule C.</w:t>
      </w:r>
    </w:p>
    <w:tbl>
      <w:tblPr>
        <w:tblStyle w:val="TableGrid"/>
        <w:tblW w:w="5917" w:type="dxa"/>
        <w:jc w:val="center"/>
        <w:tblLook w:val="04A0" w:firstRow="1" w:lastRow="0" w:firstColumn="1" w:lastColumn="0" w:noHBand="0" w:noVBand="1"/>
      </w:tblPr>
      <w:tblGrid>
        <w:gridCol w:w="4222"/>
        <w:gridCol w:w="1695"/>
      </w:tblGrid>
      <w:tr w:rsidR="00922231" w:rsidRPr="00922231" w14:paraId="7C4AB1C7" w14:textId="0CC12DC7" w:rsidTr="00922231">
        <w:trPr>
          <w:jc w:val="center"/>
        </w:trPr>
        <w:tc>
          <w:tcPr>
            <w:tcW w:w="4222" w:type="dxa"/>
            <w:vAlign w:val="center"/>
          </w:tcPr>
          <w:p w14:paraId="4EDEBC00" w14:textId="77777777" w:rsidR="00922231" w:rsidRPr="00922231" w:rsidRDefault="00922231" w:rsidP="00866B7E">
            <w:pPr>
              <w:pStyle w:val="TableHeader"/>
            </w:pPr>
            <w:r w:rsidRPr="00922231">
              <w:t xml:space="preserve">Performance Category - </w:t>
            </w:r>
            <w:r w:rsidRPr="00922231">
              <w:rPr>
                <w:bCs/>
              </w:rPr>
              <w:t>EAP</w:t>
            </w:r>
          </w:p>
        </w:tc>
        <w:tc>
          <w:tcPr>
            <w:tcW w:w="1695" w:type="dxa"/>
            <w:vAlign w:val="center"/>
          </w:tcPr>
          <w:p w14:paraId="51DF3D97" w14:textId="5B0D9C3C" w:rsidR="00922231" w:rsidRPr="00922231" w:rsidRDefault="00922231" w:rsidP="00922231">
            <w:pPr>
              <w:pStyle w:val="TableBodySmall"/>
              <w:jc w:val="center"/>
              <w:rPr>
                <w:b/>
              </w:rPr>
            </w:pPr>
            <w:r w:rsidRPr="00922231">
              <w:rPr>
                <w:b/>
              </w:rPr>
              <w:t>Percentage at risk Annually</w:t>
            </w:r>
          </w:p>
        </w:tc>
      </w:tr>
      <w:tr w:rsidR="00922231" w:rsidRPr="00922231" w14:paraId="434C23F0" w14:textId="7D7BCF4F" w:rsidTr="00922231">
        <w:trPr>
          <w:jc w:val="center"/>
        </w:trPr>
        <w:tc>
          <w:tcPr>
            <w:tcW w:w="4222" w:type="dxa"/>
          </w:tcPr>
          <w:p w14:paraId="58931D05" w14:textId="1C959488" w:rsidR="00922231" w:rsidRPr="00922231" w:rsidRDefault="00922231" w:rsidP="004271FA">
            <w:pPr>
              <w:pStyle w:val="TableBodyInstructions"/>
              <w:rPr>
                <w:color w:val="000000" w:themeColor="text1"/>
              </w:rPr>
            </w:pPr>
            <w:r w:rsidRPr="00922231">
              <w:rPr>
                <w:color w:val="000000" w:themeColor="text1"/>
              </w:rPr>
              <w:t>EAP Average Speed of Answer</w:t>
            </w:r>
          </w:p>
        </w:tc>
        <w:tc>
          <w:tcPr>
            <w:tcW w:w="1695" w:type="dxa"/>
            <w:vAlign w:val="center"/>
          </w:tcPr>
          <w:p w14:paraId="1ECD413B" w14:textId="3D9204D5" w:rsidR="00922231" w:rsidRPr="00922231" w:rsidRDefault="00922231" w:rsidP="004271FA">
            <w:pPr>
              <w:pStyle w:val="TableBody"/>
              <w:jc w:val="center"/>
            </w:pPr>
            <w:r w:rsidRPr="00922231">
              <w:t>2.0%</w:t>
            </w:r>
          </w:p>
        </w:tc>
      </w:tr>
      <w:tr w:rsidR="00922231" w:rsidRPr="00922231" w14:paraId="23E8FC0E" w14:textId="77777777" w:rsidTr="00922231">
        <w:trPr>
          <w:jc w:val="center"/>
        </w:trPr>
        <w:tc>
          <w:tcPr>
            <w:tcW w:w="4222" w:type="dxa"/>
          </w:tcPr>
          <w:p w14:paraId="05BB2523" w14:textId="04490E7F" w:rsidR="00922231" w:rsidRPr="00922231" w:rsidRDefault="00922231" w:rsidP="004271FA">
            <w:pPr>
              <w:pStyle w:val="TableBodyInstructions"/>
              <w:rPr>
                <w:color w:val="000000" w:themeColor="text1"/>
              </w:rPr>
            </w:pPr>
            <w:r w:rsidRPr="00922231">
              <w:rPr>
                <w:color w:val="000000" w:themeColor="text1"/>
              </w:rPr>
              <w:t>EAP Abandonment Rate</w:t>
            </w:r>
          </w:p>
        </w:tc>
        <w:tc>
          <w:tcPr>
            <w:tcW w:w="1695" w:type="dxa"/>
            <w:vAlign w:val="center"/>
          </w:tcPr>
          <w:p w14:paraId="778C53AD" w14:textId="08825256" w:rsidR="00922231" w:rsidRPr="00922231" w:rsidRDefault="00922231" w:rsidP="004271FA">
            <w:pPr>
              <w:pStyle w:val="TableBody"/>
              <w:jc w:val="center"/>
            </w:pPr>
            <w:r w:rsidRPr="00922231">
              <w:t>2.0%</w:t>
            </w:r>
          </w:p>
        </w:tc>
      </w:tr>
      <w:tr w:rsidR="00922231" w:rsidRPr="00922231" w14:paraId="09D2F96E" w14:textId="77777777" w:rsidTr="00922231">
        <w:trPr>
          <w:jc w:val="center"/>
        </w:trPr>
        <w:tc>
          <w:tcPr>
            <w:tcW w:w="4222" w:type="dxa"/>
          </w:tcPr>
          <w:p w14:paraId="6DFEE1AF" w14:textId="355C59C7" w:rsidR="00922231" w:rsidRPr="00922231" w:rsidRDefault="00922231" w:rsidP="004271FA">
            <w:pPr>
              <w:pStyle w:val="TableBodyInstructions"/>
              <w:rPr>
                <w:color w:val="000000" w:themeColor="text1"/>
              </w:rPr>
            </w:pPr>
            <w:r w:rsidRPr="00922231">
              <w:rPr>
                <w:color w:val="000000" w:themeColor="text1"/>
              </w:rPr>
              <w:t>EAP Member Satisfaction</w:t>
            </w:r>
          </w:p>
        </w:tc>
        <w:tc>
          <w:tcPr>
            <w:tcW w:w="1695" w:type="dxa"/>
            <w:vAlign w:val="center"/>
          </w:tcPr>
          <w:p w14:paraId="6624F1AE" w14:textId="578D1658" w:rsidR="00922231" w:rsidRPr="00922231" w:rsidRDefault="00922231" w:rsidP="004271FA">
            <w:pPr>
              <w:pStyle w:val="TableBody"/>
              <w:jc w:val="center"/>
            </w:pPr>
            <w:r w:rsidRPr="00922231">
              <w:t>2.0%</w:t>
            </w:r>
          </w:p>
        </w:tc>
      </w:tr>
      <w:tr w:rsidR="00922231" w:rsidRPr="00922231" w14:paraId="00065C4B" w14:textId="77777777" w:rsidTr="00922231">
        <w:trPr>
          <w:jc w:val="center"/>
        </w:trPr>
        <w:tc>
          <w:tcPr>
            <w:tcW w:w="4222" w:type="dxa"/>
          </w:tcPr>
          <w:p w14:paraId="766EEC8D" w14:textId="5FD60822" w:rsidR="00922231" w:rsidRPr="00922231" w:rsidRDefault="00922231" w:rsidP="004271FA">
            <w:pPr>
              <w:pStyle w:val="TableBodyInstructions"/>
              <w:rPr>
                <w:color w:val="000000" w:themeColor="text1"/>
              </w:rPr>
            </w:pPr>
            <w:r w:rsidRPr="00922231">
              <w:rPr>
                <w:color w:val="000000" w:themeColor="text1"/>
              </w:rPr>
              <w:t>EAP Follow-up</w:t>
            </w:r>
          </w:p>
        </w:tc>
        <w:tc>
          <w:tcPr>
            <w:tcW w:w="1695" w:type="dxa"/>
            <w:vAlign w:val="center"/>
          </w:tcPr>
          <w:p w14:paraId="1875D27D" w14:textId="1BB65C3E" w:rsidR="00922231" w:rsidRPr="00922231" w:rsidRDefault="00922231" w:rsidP="004271FA">
            <w:pPr>
              <w:pStyle w:val="TableBody"/>
              <w:jc w:val="center"/>
            </w:pPr>
            <w:r w:rsidRPr="00922231">
              <w:t>2.0%</w:t>
            </w:r>
          </w:p>
        </w:tc>
      </w:tr>
      <w:tr w:rsidR="00922231" w:rsidRPr="00922231" w14:paraId="65547716" w14:textId="158B3000" w:rsidTr="00922231">
        <w:trPr>
          <w:jc w:val="center"/>
        </w:trPr>
        <w:tc>
          <w:tcPr>
            <w:tcW w:w="4222" w:type="dxa"/>
          </w:tcPr>
          <w:p w14:paraId="07B5E0B8" w14:textId="403B1B0E" w:rsidR="00922231" w:rsidRPr="00922231" w:rsidRDefault="00922231" w:rsidP="00724D9E">
            <w:pPr>
              <w:pStyle w:val="TableBodyInstructions"/>
              <w:rPr>
                <w:color w:val="000000" w:themeColor="text1"/>
              </w:rPr>
            </w:pPr>
            <w:r w:rsidRPr="00922231">
              <w:rPr>
                <w:color w:val="000000" w:themeColor="text1"/>
              </w:rPr>
              <w:t>EAP Network Access</w:t>
            </w:r>
          </w:p>
        </w:tc>
        <w:tc>
          <w:tcPr>
            <w:tcW w:w="1695" w:type="dxa"/>
            <w:vAlign w:val="center"/>
          </w:tcPr>
          <w:p w14:paraId="677A9935" w14:textId="33C16124" w:rsidR="00922231" w:rsidRPr="00922231" w:rsidRDefault="00922231" w:rsidP="00724D9E">
            <w:pPr>
              <w:pStyle w:val="TableBody"/>
              <w:jc w:val="center"/>
            </w:pPr>
            <w:r w:rsidRPr="00922231">
              <w:t>2.0%</w:t>
            </w:r>
          </w:p>
        </w:tc>
      </w:tr>
      <w:tr w:rsidR="00922231" w:rsidRPr="00922231" w14:paraId="0B7175D1" w14:textId="155D3F2C" w:rsidTr="00922231">
        <w:trPr>
          <w:jc w:val="center"/>
        </w:trPr>
        <w:tc>
          <w:tcPr>
            <w:tcW w:w="4222" w:type="dxa"/>
          </w:tcPr>
          <w:p w14:paraId="1FE30C5E" w14:textId="77777777" w:rsidR="00922231" w:rsidRPr="00922231" w:rsidRDefault="00922231" w:rsidP="00724D9E">
            <w:pPr>
              <w:pStyle w:val="TableBodyInstructions"/>
              <w:rPr>
                <w:color w:val="000000" w:themeColor="text1"/>
              </w:rPr>
            </w:pPr>
            <w:proofErr w:type="gramStart"/>
            <w:r w:rsidRPr="00922231">
              <w:rPr>
                <w:color w:val="000000" w:themeColor="text1"/>
              </w:rPr>
              <w:t>EAP  Management</w:t>
            </w:r>
            <w:proofErr w:type="gramEnd"/>
            <w:r w:rsidRPr="00922231">
              <w:rPr>
                <w:color w:val="000000" w:themeColor="text1"/>
              </w:rPr>
              <w:t xml:space="preserve"> Reports</w:t>
            </w:r>
          </w:p>
        </w:tc>
        <w:tc>
          <w:tcPr>
            <w:tcW w:w="1695" w:type="dxa"/>
            <w:vAlign w:val="center"/>
          </w:tcPr>
          <w:p w14:paraId="645E29AB" w14:textId="70AA2BCC" w:rsidR="00922231" w:rsidRPr="00922231" w:rsidRDefault="00922231" w:rsidP="00724D9E">
            <w:pPr>
              <w:pStyle w:val="TableBody"/>
              <w:jc w:val="center"/>
            </w:pPr>
            <w:r w:rsidRPr="00922231">
              <w:t>2.0%</w:t>
            </w:r>
          </w:p>
        </w:tc>
      </w:tr>
      <w:tr w:rsidR="00922231" w:rsidRPr="00922231" w14:paraId="4C0AFFFB" w14:textId="77777777" w:rsidTr="00922231">
        <w:trPr>
          <w:jc w:val="center"/>
        </w:trPr>
        <w:tc>
          <w:tcPr>
            <w:tcW w:w="4222" w:type="dxa"/>
          </w:tcPr>
          <w:p w14:paraId="61336661" w14:textId="591F7F1A" w:rsidR="00922231" w:rsidRPr="00922231" w:rsidRDefault="00922231" w:rsidP="00724D9E">
            <w:pPr>
              <w:pStyle w:val="TableBodyInstructions"/>
              <w:rPr>
                <w:color w:val="000000" w:themeColor="text1"/>
              </w:rPr>
            </w:pPr>
            <w:r w:rsidRPr="00922231">
              <w:rPr>
                <w:color w:val="000000" w:themeColor="text1"/>
              </w:rPr>
              <w:t>EAP Vendor Integration</w:t>
            </w:r>
          </w:p>
        </w:tc>
        <w:tc>
          <w:tcPr>
            <w:tcW w:w="1695" w:type="dxa"/>
            <w:vAlign w:val="center"/>
          </w:tcPr>
          <w:p w14:paraId="0BEB6F6F" w14:textId="5F215391" w:rsidR="00922231" w:rsidRPr="00922231" w:rsidRDefault="00922231" w:rsidP="00724D9E">
            <w:pPr>
              <w:pStyle w:val="TableBody"/>
              <w:jc w:val="center"/>
            </w:pPr>
            <w:r w:rsidRPr="00922231">
              <w:t>2.0%</w:t>
            </w:r>
          </w:p>
        </w:tc>
      </w:tr>
      <w:tr w:rsidR="00922231" w:rsidRPr="00922231" w14:paraId="50E916F5" w14:textId="77777777" w:rsidTr="00922231">
        <w:trPr>
          <w:jc w:val="center"/>
        </w:trPr>
        <w:tc>
          <w:tcPr>
            <w:tcW w:w="4222" w:type="dxa"/>
          </w:tcPr>
          <w:p w14:paraId="35920B6D" w14:textId="2169A747" w:rsidR="00922231" w:rsidRPr="00922231" w:rsidRDefault="00922231" w:rsidP="00724D9E">
            <w:pPr>
              <w:pStyle w:val="TableBodyInstructions"/>
              <w:rPr>
                <w:color w:val="000000" w:themeColor="text1"/>
              </w:rPr>
            </w:pPr>
            <w:r w:rsidRPr="00922231">
              <w:rPr>
                <w:color w:val="000000" w:themeColor="text1"/>
              </w:rPr>
              <w:t>EAP Critical Incident Response Satisfaction</w:t>
            </w:r>
          </w:p>
        </w:tc>
        <w:tc>
          <w:tcPr>
            <w:tcW w:w="1695" w:type="dxa"/>
            <w:vAlign w:val="center"/>
          </w:tcPr>
          <w:p w14:paraId="3ECD1868" w14:textId="5CC770EF" w:rsidR="00922231" w:rsidRPr="00922231" w:rsidRDefault="00922231" w:rsidP="00724D9E">
            <w:pPr>
              <w:pStyle w:val="TableBody"/>
              <w:jc w:val="center"/>
            </w:pPr>
            <w:r w:rsidRPr="00922231">
              <w:t>2.0%</w:t>
            </w:r>
          </w:p>
        </w:tc>
      </w:tr>
      <w:tr w:rsidR="00922231" w:rsidRPr="000B7F20" w14:paraId="68941D60" w14:textId="06D5F464" w:rsidTr="00922231">
        <w:trPr>
          <w:jc w:val="center"/>
        </w:trPr>
        <w:tc>
          <w:tcPr>
            <w:tcW w:w="4222" w:type="dxa"/>
          </w:tcPr>
          <w:p w14:paraId="64786713" w14:textId="77777777" w:rsidR="00922231" w:rsidRPr="00922231" w:rsidRDefault="00922231" w:rsidP="00724D9E">
            <w:pPr>
              <w:pStyle w:val="TableBodyInstructions"/>
              <w:rPr>
                <w:b/>
                <w:color w:val="000000" w:themeColor="text1"/>
              </w:rPr>
            </w:pPr>
            <w:r w:rsidRPr="00922231">
              <w:rPr>
                <w:b/>
                <w:color w:val="000000" w:themeColor="text1"/>
              </w:rPr>
              <w:t>Total</w:t>
            </w:r>
          </w:p>
        </w:tc>
        <w:tc>
          <w:tcPr>
            <w:tcW w:w="1695" w:type="dxa"/>
            <w:vAlign w:val="center"/>
          </w:tcPr>
          <w:p w14:paraId="7A173D35" w14:textId="25C619BE" w:rsidR="00922231" w:rsidRPr="00CD7964" w:rsidRDefault="00922231" w:rsidP="00724D9E">
            <w:pPr>
              <w:pStyle w:val="TableBody"/>
              <w:jc w:val="center"/>
              <w:rPr>
                <w:b/>
              </w:rPr>
            </w:pPr>
            <w:r>
              <w:rPr>
                <w:b/>
              </w:rPr>
              <w:t>1</w:t>
            </w:r>
            <w:r w:rsidR="00552FB9">
              <w:rPr>
                <w:b/>
              </w:rPr>
              <w:t>6</w:t>
            </w:r>
            <w:r w:rsidRPr="00922231">
              <w:rPr>
                <w:b/>
              </w:rPr>
              <w:t>.0%</w:t>
            </w:r>
          </w:p>
        </w:tc>
      </w:tr>
    </w:tbl>
    <w:p w14:paraId="1537E749" w14:textId="77777777" w:rsidR="00791DE9" w:rsidRPr="000B7F20" w:rsidRDefault="00791DE9" w:rsidP="00791DE9">
      <w:pPr>
        <w:pStyle w:val="Heading3"/>
      </w:pPr>
    </w:p>
    <w:p w14:paraId="1CB09538" w14:textId="77777777" w:rsidR="00791DE9" w:rsidRPr="000B7F20" w:rsidRDefault="00791DE9" w:rsidP="00791DE9">
      <w:pPr>
        <w:pStyle w:val="Heading3"/>
      </w:pPr>
      <w:r w:rsidRPr="000B7F20">
        <w:t>Additional Terms and Conditions</w:t>
      </w:r>
    </w:p>
    <w:p w14:paraId="3D593393" w14:textId="77777777" w:rsidR="00791DE9" w:rsidRPr="00821AA2" w:rsidRDefault="00791DE9" w:rsidP="00791DE9">
      <w:pPr>
        <w:pStyle w:val="Bullet"/>
        <w:numPr>
          <w:ilvl w:val="0"/>
          <w:numId w:val="22"/>
        </w:numPr>
      </w:pPr>
      <w:r w:rsidRPr="000B7F20">
        <w:t>For purposes of imposing penalties, measurement shall not begin until the start of the fourth month of the initial Agreement period for the following measures: Average Speed of Answer and</w:t>
      </w:r>
      <w:r>
        <w:t xml:space="preserve"> </w:t>
      </w:r>
      <w:r w:rsidRPr="00821AA2">
        <w:t xml:space="preserve">Call Abandonment </w:t>
      </w:r>
      <w:r>
        <w:t>Rate</w:t>
      </w:r>
      <w:r w:rsidRPr="00821AA2">
        <w:t>.</w:t>
      </w:r>
    </w:p>
    <w:p w14:paraId="221C6B04" w14:textId="3E0FACB3" w:rsidR="00791DE9" w:rsidRPr="007335B7" w:rsidRDefault="00791DE9" w:rsidP="00791DE9">
      <w:pPr>
        <w:pStyle w:val="Bullet"/>
        <w:numPr>
          <w:ilvl w:val="0"/>
          <w:numId w:val="22"/>
        </w:numPr>
      </w:pPr>
      <w:r w:rsidRPr="006D226F">
        <w:t xml:space="preserve">Performance will be based on the results of a designated service team/business unit assigned to </w:t>
      </w:r>
      <w:r w:rsidR="00297DA7">
        <w:t>State of Indiana</w:t>
      </w:r>
      <w:r>
        <w:t>,</w:t>
      </w:r>
      <w:r w:rsidRPr="006D226F">
        <w:t xml:space="preserve"> unless the guarantee is noted</w:t>
      </w:r>
      <w:r w:rsidRPr="006D226F" w:rsidDel="00A52F20">
        <w:t xml:space="preserve"> </w:t>
      </w:r>
      <w:r w:rsidRPr="006D226F">
        <w:t xml:space="preserve">as measured with </w:t>
      </w:r>
      <w:r>
        <w:t>Employer-specific Data</w:t>
      </w:r>
      <w:r w:rsidRPr="006D226F">
        <w:t>.</w:t>
      </w:r>
    </w:p>
    <w:p w14:paraId="37423F69" w14:textId="77777777" w:rsidR="00791DE9" w:rsidRDefault="00791DE9" w:rsidP="00791DE9">
      <w:pPr>
        <w:pStyle w:val="Bullet"/>
        <w:numPr>
          <w:ilvl w:val="0"/>
          <w:numId w:val="22"/>
        </w:numPr>
      </w:pPr>
      <w:r>
        <w:t xml:space="preserve">Unless otherwise provided in the description of a Performance Guarantee in this attachment, the Performance Guarantees herein require 30 or more of Employer’s Members being measured in order for Anthem to have an obligation to make a payment under such Performance </w:t>
      </w:r>
      <w:proofErr w:type="gramStart"/>
      <w:r>
        <w:t>Guarantee</w:t>
      </w:r>
      <w:proofErr w:type="gramEnd"/>
    </w:p>
    <w:p w14:paraId="03877983" w14:textId="77777777" w:rsidR="00791DE9" w:rsidRDefault="00791DE9" w:rsidP="00791DE9">
      <w:pPr>
        <w:pStyle w:val="Bullet"/>
        <w:numPr>
          <w:ilvl w:val="0"/>
          <w:numId w:val="22"/>
        </w:numPr>
      </w:pPr>
      <w:r>
        <w:t>All Performance Guarantees in which Anthem will make outbound calls to Identified Members will exclude Identified Members whom Anthem cannot reach due to incorrect or invalid telephone numbers</w:t>
      </w:r>
      <w:r>
        <w:rPr>
          <w:color w:val="005C9E"/>
        </w:rPr>
        <w:t xml:space="preserve">, </w:t>
      </w:r>
      <w:r>
        <w:t>including numbers where permission is required by law but not provided,</w:t>
      </w:r>
      <w:r>
        <w:rPr>
          <w:szCs w:val="20"/>
        </w:rPr>
        <w:t xml:space="preserve"> </w:t>
      </w:r>
      <w:r>
        <w:t xml:space="preserve">or those Identified Members who have requested that Anthem not contact them.  </w:t>
      </w:r>
    </w:p>
    <w:p w14:paraId="7F4D4C4F" w14:textId="77777777" w:rsidR="00791DE9" w:rsidRDefault="00791DE9" w:rsidP="00791DE9">
      <w:pPr>
        <w:pStyle w:val="Bullet"/>
        <w:numPr>
          <w:ilvl w:val="0"/>
          <w:numId w:val="22"/>
        </w:numPr>
      </w:pPr>
      <w:r>
        <w:t xml:space="preserve">Anthem reserves the right to revise Performance Guarantees to reflect modifications and advances in medical standards and practices when such standards and practices become generally accepted.  </w:t>
      </w:r>
    </w:p>
    <w:p w14:paraId="67267C14" w14:textId="4A839CB3" w:rsidR="00B168C2" w:rsidRDefault="00B168C2" w:rsidP="00B168C2">
      <w:pPr>
        <w:pStyle w:val="Heading2"/>
        <w:spacing w:before="0" w:after="0"/>
      </w:pPr>
    </w:p>
    <w:p w14:paraId="361F507A" w14:textId="77777777" w:rsidR="00B168C2" w:rsidRPr="00B168C2" w:rsidRDefault="00B168C2" w:rsidP="00B168C2"/>
    <w:p w14:paraId="67D4EF5A" w14:textId="743317D7" w:rsidR="00346A8F" w:rsidRDefault="00346A8F" w:rsidP="00346A8F">
      <w:pPr>
        <w:pStyle w:val="Heading2"/>
      </w:pPr>
      <w:r>
        <w:lastRenderedPageBreak/>
        <w:t>EAP Performance Guarantees</w:t>
      </w:r>
    </w:p>
    <w:p w14:paraId="045ADBA0" w14:textId="77777777" w:rsidR="00791DE9" w:rsidRDefault="00791DE9" w:rsidP="00791DE9">
      <w:pPr>
        <w:pStyle w:val="Bullet"/>
        <w:numPr>
          <w:ilvl w:val="0"/>
          <w:numId w:val="0"/>
        </w:numPr>
      </w:pPr>
    </w:p>
    <w:tbl>
      <w:tblPr>
        <w:tblW w:w="6064" w:type="pct"/>
        <w:tblInd w:w="-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9"/>
        <w:gridCol w:w="1561"/>
        <w:gridCol w:w="3799"/>
        <w:gridCol w:w="2604"/>
        <w:gridCol w:w="1390"/>
      </w:tblGrid>
      <w:tr w:rsidR="00791DE9" w:rsidRPr="000B1A57" w14:paraId="06CD399A" w14:textId="77777777" w:rsidTr="004271FA">
        <w:trPr>
          <w:trHeight w:val="852"/>
        </w:trPr>
        <w:tc>
          <w:tcPr>
            <w:tcW w:w="710" w:type="pct"/>
            <w:shd w:val="clear" w:color="000000" w:fill="BFBFBF"/>
            <w:vAlign w:val="center"/>
            <w:hideMark/>
          </w:tcPr>
          <w:bookmarkEnd w:id="0"/>
          <w:p w14:paraId="2CA82C91" w14:textId="77777777" w:rsidR="00791DE9" w:rsidRPr="000B1A57" w:rsidRDefault="00791DE9" w:rsidP="00724D9E">
            <w:pPr>
              <w:spacing w:after="0" w:line="240" w:lineRule="auto"/>
              <w:jc w:val="center"/>
              <w:rPr>
                <w:rFonts w:eastAsia="Times New Roman" w:cstheme="minorHAnsi"/>
                <w:b/>
                <w:bCs/>
                <w:color w:val="000000"/>
                <w:sz w:val="20"/>
                <w:szCs w:val="20"/>
              </w:rPr>
            </w:pPr>
            <w:r w:rsidRPr="000B1A57">
              <w:rPr>
                <w:rFonts w:eastAsia="Times New Roman" w:cstheme="minorHAnsi"/>
                <w:b/>
                <w:bCs/>
                <w:color w:val="000000"/>
                <w:sz w:val="20"/>
                <w:szCs w:val="20"/>
              </w:rPr>
              <w:t xml:space="preserve"> EAP</w:t>
            </w:r>
          </w:p>
        </w:tc>
        <w:tc>
          <w:tcPr>
            <w:tcW w:w="716" w:type="pct"/>
            <w:shd w:val="clear" w:color="000000" w:fill="BFBFBF"/>
            <w:vAlign w:val="center"/>
            <w:hideMark/>
          </w:tcPr>
          <w:p w14:paraId="4AC28D4B" w14:textId="77777777" w:rsidR="00791DE9" w:rsidRPr="000B1A57" w:rsidRDefault="00791DE9" w:rsidP="00724D9E">
            <w:pPr>
              <w:spacing w:after="0" w:line="240" w:lineRule="auto"/>
              <w:jc w:val="center"/>
              <w:rPr>
                <w:rFonts w:eastAsia="Times New Roman" w:cstheme="minorHAnsi"/>
                <w:b/>
                <w:bCs/>
                <w:color w:val="000000"/>
                <w:sz w:val="20"/>
                <w:szCs w:val="20"/>
              </w:rPr>
            </w:pPr>
            <w:r w:rsidRPr="000B1A57">
              <w:rPr>
                <w:rFonts w:eastAsia="Times New Roman" w:cstheme="minorHAnsi"/>
                <w:b/>
                <w:bCs/>
                <w:color w:val="000000"/>
                <w:sz w:val="20"/>
                <w:szCs w:val="20"/>
              </w:rPr>
              <w:t>Percent at risk </w:t>
            </w:r>
          </w:p>
        </w:tc>
        <w:tc>
          <w:tcPr>
            <w:tcW w:w="1742" w:type="pct"/>
            <w:shd w:val="clear" w:color="000000" w:fill="BFBFBF"/>
            <w:vAlign w:val="center"/>
            <w:hideMark/>
          </w:tcPr>
          <w:p w14:paraId="24B34F30" w14:textId="77777777" w:rsidR="00791DE9" w:rsidRPr="000B1A57" w:rsidRDefault="00791DE9" w:rsidP="00724D9E">
            <w:pPr>
              <w:spacing w:after="0" w:line="240" w:lineRule="auto"/>
              <w:jc w:val="center"/>
              <w:rPr>
                <w:rFonts w:eastAsia="Times New Roman" w:cstheme="minorHAnsi"/>
                <w:b/>
                <w:bCs/>
                <w:color w:val="000000"/>
                <w:sz w:val="20"/>
                <w:szCs w:val="20"/>
              </w:rPr>
            </w:pPr>
            <w:r w:rsidRPr="000B1A57">
              <w:rPr>
                <w:rFonts w:eastAsia="Times New Roman" w:cstheme="minorHAnsi"/>
                <w:b/>
                <w:bCs/>
                <w:color w:val="000000"/>
                <w:sz w:val="20"/>
                <w:szCs w:val="20"/>
              </w:rPr>
              <w:t>Description</w:t>
            </w:r>
          </w:p>
        </w:tc>
        <w:tc>
          <w:tcPr>
            <w:tcW w:w="1194" w:type="pct"/>
            <w:shd w:val="clear" w:color="000000" w:fill="BFBFBF"/>
            <w:vAlign w:val="center"/>
            <w:hideMark/>
          </w:tcPr>
          <w:p w14:paraId="0DF1AF38" w14:textId="77777777" w:rsidR="00791DE9" w:rsidRPr="000B1A57" w:rsidRDefault="00791DE9" w:rsidP="00724D9E">
            <w:pPr>
              <w:spacing w:after="0" w:line="240" w:lineRule="auto"/>
              <w:jc w:val="center"/>
              <w:rPr>
                <w:rFonts w:eastAsia="Times New Roman" w:cstheme="minorHAnsi"/>
                <w:b/>
                <w:bCs/>
                <w:color w:val="000000"/>
                <w:sz w:val="20"/>
                <w:szCs w:val="20"/>
              </w:rPr>
            </w:pPr>
            <w:r w:rsidRPr="000B1A57">
              <w:rPr>
                <w:rFonts w:eastAsia="Times New Roman" w:cstheme="minorHAnsi"/>
                <w:b/>
                <w:bCs/>
                <w:color w:val="000000"/>
                <w:sz w:val="20"/>
                <w:szCs w:val="20"/>
              </w:rPr>
              <w:t>Penalty</w:t>
            </w:r>
          </w:p>
        </w:tc>
        <w:tc>
          <w:tcPr>
            <w:tcW w:w="637" w:type="pct"/>
            <w:shd w:val="clear" w:color="000000" w:fill="BFBFBF"/>
            <w:vAlign w:val="center"/>
            <w:hideMark/>
          </w:tcPr>
          <w:p w14:paraId="0BDBB576" w14:textId="77777777" w:rsidR="00791DE9" w:rsidRPr="000B1A57" w:rsidRDefault="00791DE9" w:rsidP="00724D9E">
            <w:pPr>
              <w:spacing w:after="0" w:line="240" w:lineRule="auto"/>
              <w:jc w:val="center"/>
              <w:rPr>
                <w:rFonts w:eastAsia="Times New Roman" w:cstheme="minorHAnsi"/>
                <w:b/>
                <w:bCs/>
                <w:color w:val="000000"/>
                <w:sz w:val="20"/>
                <w:szCs w:val="20"/>
              </w:rPr>
            </w:pPr>
            <w:r w:rsidRPr="000B1A57">
              <w:rPr>
                <w:rFonts w:eastAsia="Times New Roman" w:cstheme="minorHAnsi"/>
                <w:b/>
                <w:bCs/>
                <w:color w:val="000000"/>
                <w:sz w:val="20"/>
                <w:szCs w:val="20"/>
              </w:rPr>
              <w:t>Measurement and Reporting</w:t>
            </w:r>
          </w:p>
        </w:tc>
      </w:tr>
      <w:tr w:rsidR="004271FA" w:rsidRPr="000B1A57" w14:paraId="721D4648" w14:textId="77777777" w:rsidTr="004271FA">
        <w:trPr>
          <w:trHeight w:val="1440"/>
        </w:trPr>
        <w:tc>
          <w:tcPr>
            <w:tcW w:w="710" w:type="pct"/>
            <w:shd w:val="clear" w:color="auto" w:fill="auto"/>
          </w:tcPr>
          <w:p w14:paraId="26810049" w14:textId="792776E9" w:rsidR="004271FA" w:rsidRPr="000B1A57" w:rsidRDefault="004271FA" w:rsidP="004271FA">
            <w:pPr>
              <w:spacing w:after="0" w:line="240" w:lineRule="auto"/>
              <w:rPr>
                <w:rFonts w:eastAsia="Times New Roman" w:cstheme="minorHAnsi"/>
                <w:color w:val="000000"/>
                <w:sz w:val="20"/>
                <w:szCs w:val="20"/>
              </w:rPr>
            </w:pPr>
            <w:r w:rsidRPr="000B1A57">
              <w:rPr>
                <w:rFonts w:eastAsia="Times New Roman" w:cstheme="minorHAnsi"/>
                <w:color w:val="000000"/>
                <w:sz w:val="20"/>
                <w:szCs w:val="20"/>
              </w:rPr>
              <w:t>EAP Average Speed to Answer</w:t>
            </w:r>
          </w:p>
        </w:tc>
        <w:tc>
          <w:tcPr>
            <w:tcW w:w="716" w:type="pct"/>
            <w:shd w:val="clear" w:color="auto" w:fill="auto"/>
          </w:tcPr>
          <w:p w14:paraId="3DF4B96D" w14:textId="719CDC82" w:rsidR="004271FA" w:rsidRPr="000B1A57" w:rsidRDefault="00922231" w:rsidP="00CC0F16">
            <w:pPr>
              <w:spacing w:after="0" w:line="240" w:lineRule="auto"/>
              <w:rPr>
                <w:rFonts w:eastAsia="Times New Roman" w:cstheme="minorHAnsi"/>
                <w:color w:val="000000"/>
                <w:sz w:val="20"/>
                <w:szCs w:val="20"/>
              </w:rPr>
            </w:pPr>
            <w:r>
              <w:rPr>
                <w:rFonts w:eastAsia="Times New Roman" w:cstheme="minorHAnsi"/>
                <w:color w:val="000000"/>
                <w:sz w:val="20"/>
                <w:szCs w:val="20"/>
              </w:rPr>
              <w:t>2.0% annually</w:t>
            </w:r>
          </w:p>
        </w:tc>
        <w:tc>
          <w:tcPr>
            <w:tcW w:w="1742" w:type="pct"/>
            <w:shd w:val="clear" w:color="auto" w:fill="auto"/>
          </w:tcPr>
          <w:p w14:paraId="6D32DCC1" w14:textId="5D295588" w:rsidR="00996E3C" w:rsidRPr="00E67D56" w:rsidRDefault="006D0568" w:rsidP="004271FA">
            <w:pPr>
              <w:spacing w:after="0" w:line="240" w:lineRule="auto"/>
              <w:rPr>
                <w:rFonts w:cs="Arial"/>
                <w:sz w:val="20"/>
                <w:szCs w:val="20"/>
              </w:rPr>
            </w:pPr>
            <w:r w:rsidRPr="00E67D56">
              <w:rPr>
                <w:rFonts w:cs="Arial"/>
                <w:sz w:val="20"/>
                <w:szCs w:val="20"/>
              </w:rPr>
              <w:t>The average speed to answer (ASA) will be 30 seconds or less. ASA is defined as the average number of whole seconds members wait and/or are in the telephone system before receiving a response from a customer service representative (CSR). This Guarantee will be calculated based on the total number of calls answered by a CSR.</w:t>
            </w:r>
            <w:r w:rsidR="00996E3C" w:rsidRPr="00E67D56">
              <w:rPr>
                <w:rFonts w:cs="Arial"/>
                <w:sz w:val="20"/>
                <w:szCs w:val="20"/>
              </w:rPr>
              <w:t xml:space="preserve"> </w:t>
            </w:r>
            <w:r w:rsidR="00996E3C" w:rsidRPr="00E67D56">
              <w:rPr>
                <w:rFonts w:eastAsia="Times New Roman" w:cstheme="minorHAnsi"/>
                <w:sz w:val="20"/>
                <w:szCs w:val="20"/>
              </w:rPr>
              <w:t>This will be measured with Employer-specific Data.</w:t>
            </w:r>
          </w:p>
          <w:p w14:paraId="707A5A52" w14:textId="5327B3AD" w:rsidR="004271FA" w:rsidRPr="00E67D56" w:rsidRDefault="004271FA" w:rsidP="004271FA">
            <w:pPr>
              <w:spacing w:after="0" w:line="240" w:lineRule="auto"/>
              <w:rPr>
                <w:rFonts w:eastAsia="Times New Roman" w:cstheme="minorHAnsi"/>
                <w:bCs/>
                <w:sz w:val="20"/>
                <w:szCs w:val="20"/>
              </w:rPr>
            </w:pPr>
            <w:r w:rsidRPr="00E67D56">
              <w:rPr>
                <w:rFonts w:cstheme="minorHAnsi"/>
                <w:sz w:val="20"/>
                <w:szCs w:val="20"/>
              </w:rPr>
              <w:t xml:space="preserve"> </w:t>
            </w:r>
            <w:r w:rsidRPr="00E67D56">
              <w:rPr>
                <w:rFonts w:eastAsia="Times New Roman" w:cstheme="minorHAnsi"/>
                <w:bCs/>
                <w:sz w:val="20"/>
                <w:szCs w:val="20"/>
              </w:rPr>
              <w:t xml:space="preserve">  </w:t>
            </w:r>
          </w:p>
        </w:tc>
        <w:tc>
          <w:tcPr>
            <w:tcW w:w="1194" w:type="pct"/>
            <w:shd w:val="clear" w:color="auto" w:fill="auto"/>
          </w:tcPr>
          <w:p w14:paraId="3524C359" w14:textId="77777777" w:rsidR="004271FA" w:rsidRPr="000B1A57" w:rsidRDefault="004271FA" w:rsidP="004271FA">
            <w:pPr>
              <w:spacing w:after="0" w:line="240" w:lineRule="auto"/>
              <w:rPr>
                <w:rFonts w:eastAsia="Times New Roman" w:cstheme="minorHAnsi"/>
                <w:bCs/>
                <w:sz w:val="20"/>
                <w:szCs w:val="20"/>
              </w:rPr>
            </w:pPr>
            <w:r w:rsidRPr="000B1A57">
              <w:rPr>
                <w:rFonts w:eastAsia="Times New Roman" w:cstheme="minorHAnsi"/>
                <w:bCs/>
                <w:sz w:val="20"/>
                <w:szCs w:val="20"/>
              </w:rPr>
              <w:t>30 seconds or less: None</w:t>
            </w:r>
          </w:p>
          <w:p w14:paraId="5E66FC74" w14:textId="77777777" w:rsidR="004271FA" w:rsidRPr="000B1A57" w:rsidRDefault="004271FA" w:rsidP="004271FA">
            <w:pPr>
              <w:spacing w:after="0" w:line="240" w:lineRule="auto"/>
              <w:rPr>
                <w:rFonts w:eastAsia="Times New Roman" w:cstheme="minorHAnsi"/>
                <w:bCs/>
                <w:sz w:val="20"/>
                <w:szCs w:val="20"/>
              </w:rPr>
            </w:pPr>
            <w:r w:rsidRPr="000B1A57">
              <w:rPr>
                <w:rFonts w:eastAsia="Times New Roman" w:cstheme="minorHAnsi"/>
                <w:bCs/>
                <w:sz w:val="20"/>
                <w:szCs w:val="20"/>
              </w:rPr>
              <w:t>31-33 seconds: 25%</w:t>
            </w:r>
          </w:p>
          <w:p w14:paraId="2FEFE727" w14:textId="77777777" w:rsidR="004271FA" w:rsidRPr="000B1A57" w:rsidRDefault="004271FA" w:rsidP="004271FA">
            <w:pPr>
              <w:spacing w:after="0" w:line="240" w:lineRule="auto"/>
              <w:rPr>
                <w:rFonts w:eastAsia="Times New Roman" w:cstheme="minorHAnsi"/>
                <w:bCs/>
                <w:sz w:val="20"/>
                <w:szCs w:val="20"/>
              </w:rPr>
            </w:pPr>
            <w:r w:rsidRPr="000B1A57">
              <w:rPr>
                <w:rFonts w:eastAsia="Times New Roman" w:cstheme="minorHAnsi"/>
                <w:bCs/>
                <w:sz w:val="20"/>
                <w:szCs w:val="20"/>
              </w:rPr>
              <w:t>34-36 seconds: 50%</w:t>
            </w:r>
          </w:p>
          <w:p w14:paraId="2183840F" w14:textId="77777777" w:rsidR="004271FA" w:rsidRPr="000B1A57" w:rsidRDefault="004271FA" w:rsidP="004271FA">
            <w:pPr>
              <w:spacing w:after="0" w:line="240" w:lineRule="auto"/>
              <w:rPr>
                <w:rFonts w:eastAsia="Times New Roman" w:cstheme="minorHAnsi"/>
                <w:bCs/>
                <w:sz w:val="20"/>
                <w:szCs w:val="20"/>
              </w:rPr>
            </w:pPr>
            <w:r w:rsidRPr="000B1A57">
              <w:rPr>
                <w:rFonts w:eastAsia="Times New Roman" w:cstheme="minorHAnsi"/>
                <w:bCs/>
                <w:sz w:val="20"/>
                <w:szCs w:val="20"/>
              </w:rPr>
              <w:t>37-39 seconds: 75%</w:t>
            </w:r>
          </w:p>
          <w:p w14:paraId="20E7DFD2" w14:textId="4D6DF277" w:rsidR="004271FA" w:rsidRPr="000B1A57" w:rsidRDefault="004271FA" w:rsidP="004271FA">
            <w:pPr>
              <w:spacing w:after="0" w:line="240" w:lineRule="auto"/>
              <w:rPr>
                <w:rFonts w:eastAsia="Times New Roman" w:cstheme="minorHAnsi"/>
                <w:bCs/>
                <w:sz w:val="20"/>
                <w:szCs w:val="20"/>
              </w:rPr>
            </w:pPr>
            <w:r w:rsidRPr="000B1A57">
              <w:rPr>
                <w:rFonts w:eastAsia="Times New Roman" w:cstheme="minorHAnsi"/>
                <w:bCs/>
                <w:sz w:val="20"/>
                <w:szCs w:val="20"/>
              </w:rPr>
              <w:t>Greater than 40 second: 100%</w:t>
            </w:r>
          </w:p>
        </w:tc>
        <w:tc>
          <w:tcPr>
            <w:tcW w:w="637" w:type="pct"/>
            <w:shd w:val="clear" w:color="auto" w:fill="auto"/>
          </w:tcPr>
          <w:p w14:paraId="7A8241A5" w14:textId="51EFD767" w:rsidR="004271FA" w:rsidRPr="000B1A57" w:rsidRDefault="004271FA" w:rsidP="004271FA">
            <w:pPr>
              <w:spacing w:after="0" w:line="240" w:lineRule="auto"/>
              <w:rPr>
                <w:rFonts w:eastAsia="Times New Roman" w:cstheme="minorHAnsi"/>
                <w:color w:val="000000"/>
                <w:sz w:val="20"/>
                <w:szCs w:val="20"/>
              </w:rPr>
            </w:pPr>
            <w:r w:rsidRPr="000B1A57">
              <w:rPr>
                <w:rFonts w:eastAsia="Times New Roman" w:cstheme="minorHAnsi"/>
                <w:color w:val="000000"/>
                <w:sz w:val="20"/>
                <w:szCs w:val="20"/>
              </w:rPr>
              <w:t>Measured and reported annually</w:t>
            </w:r>
          </w:p>
        </w:tc>
      </w:tr>
      <w:tr w:rsidR="004271FA" w:rsidRPr="000B1A57" w14:paraId="5A6C0310" w14:textId="77777777" w:rsidTr="004271FA">
        <w:trPr>
          <w:trHeight w:val="1440"/>
        </w:trPr>
        <w:tc>
          <w:tcPr>
            <w:tcW w:w="710" w:type="pct"/>
            <w:shd w:val="clear" w:color="auto" w:fill="auto"/>
          </w:tcPr>
          <w:p w14:paraId="3735AFCA" w14:textId="0601B709" w:rsidR="004271FA" w:rsidRPr="000B1A57" w:rsidRDefault="00937A13" w:rsidP="004271FA">
            <w:pPr>
              <w:spacing w:after="0" w:line="240" w:lineRule="auto"/>
              <w:rPr>
                <w:rFonts w:eastAsia="Times New Roman" w:cstheme="minorHAnsi"/>
                <w:color w:val="000000"/>
                <w:sz w:val="20"/>
                <w:szCs w:val="20"/>
              </w:rPr>
            </w:pPr>
            <w:r>
              <w:rPr>
                <w:rFonts w:eastAsia="Times New Roman" w:cstheme="minorHAnsi"/>
                <w:color w:val="000000" w:themeColor="text1"/>
                <w:sz w:val="20"/>
                <w:szCs w:val="20"/>
              </w:rPr>
              <w:t xml:space="preserve">EAP </w:t>
            </w:r>
            <w:r w:rsidR="004271FA" w:rsidRPr="000B1A57">
              <w:rPr>
                <w:rFonts w:eastAsia="Times New Roman" w:cstheme="minorHAnsi"/>
                <w:color w:val="000000" w:themeColor="text1"/>
                <w:sz w:val="20"/>
                <w:szCs w:val="20"/>
              </w:rPr>
              <w:t>Abandonment Rate</w:t>
            </w:r>
          </w:p>
        </w:tc>
        <w:tc>
          <w:tcPr>
            <w:tcW w:w="716" w:type="pct"/>
            <w:shd w:val="clear" w:color="auto" w:fill="auto"/>
          </w:tcPr>
          <w:p w14:paraId="21A5A63C" w14:textId="5410C045" w:rsidR="004271FA" w:rsidRPr="000B1A57" w:rsidRDefault="00922231" w:rsidP="004271FA">
            <w:pPr>
              <w:spacing w:after="0" w:line="240" w:lineRule="auto"/>
              <w:rPr>
                <w:rFonts w:eastAsia="Times New Roman" w:cstheme="minorHAnsi"/>
                <w:color w:val="000000"/>
                <w:sz w:val="20"/>
                <w:szCs w:val="20"/>
              </w:rPr>
            </w:pPr>
            <w:r>
              <w:rPr>
                <w:rFonts w:eastAsia="Times New Roman" w:cstheme="minorHAnsi"/>
                <w:color w:val="000000"/>
                <w:sz w:val="20"/>
                <w:szCs w:val="20"/>
              </w:rPr>
              <w:t>2.0% annually</w:t>
            </w:r>
          </w:p>
        </w:tc>
        <w:tc>
          <w:tcPr>
            <w:tcW w:w="1742" w:type="pct"/>
            <w:shd w:val="clear" w:color="auto" w:fill="auto"/>
          </w:tcPr>
          <w:p w14:paraId="7FDD28A3" w14:textId="6F27E050" w:rsidR="006D0568" w:rsidRPr="00E67D56" w:rsidRDefault="006D0568" w:rsidP="004271FA">
            <w:pPr>
              <w:spacing w:after="0" w:line="240" w:lineRule="auto"/>
              <w:rPr>
                <w:rFonts w:eastAsia="Times New Roman" w:cstheme="minorHAnsi"/>
                <w:color w:val="000000" w:themeColor="text1"/>
                <w:sz w:val="20"/>
                <w:szCs w:val="20"/>
              </w:rPr>
            </w:pPr>
            <w:r w:rsidRPr="00E67D56">
              <w:rPr>
                <w:rFonts w:cs="Arial"/>
                <w:sz w:val="20"/>
                <w:szCs w:val="20"/>
              </w:rPr>
              <w:t>A maximum of 3% of member calls will be abandoned. Abandoned Calls are defined as member calls that are waiting for a customer service representative (CSR), but are abandoned before connecting with a CSR. This Guarantee will be calculated based on the number of calls abandoned divided by the total number of calls received in the customer service telephone system</w:t>
            </w:r>
            <w:r w:rsidR="00086B0E" w:rsidRPr="00E67D56">
              <w:rPr>
                <w:rFonts w:cs="Arial"/>
                <w:sz w:val="20"/>
                <w:szCs w:val="20"/>
              </w:rPr>
              <w:t>.</w:t>
            </w:r>
            <w:r w:rsidR="00996E3C" w:rsidRPr="00E67D56">
              <w:rPr>
                <w:rFonts w:cs="Arial"/>
                <w:sz w:val="20"/>
                <w:szCs w:val="20"/>
              </w:rPr>
              <w:t xml:space="preserve"> </w:t>
            </w:r>
            <w:r w:rsidR="00996E3C" w:rsidRPr="00E67D56">
              <w:rPr>
                <w:rFonts w:eastAsia="Times New Roman" w:cstheme="minorHAnsi"/>
                <w:sz w:val="20"/>
                <w:szCs w:val="20"/>
              </w:rPr>
              <w:t>This will be measured with Employer-specific Data.</w:t>
            </w:r>
          </w:p>
          <w:p w14:paraId="6AE71B12" w14:textId="77777777" w:rsidR="004271FA" w:rsidRPr="00E67D56" w:rsidRDefault="004271FA" w:rsidP="004271FA">
            <w:pPr>
              <w:spacing w:after="0" w:line="240" w:lineRule="auto"/>
              <w:rPr>
                <w:rFonts w:eastAsia="Times New Roman" w:cstheme="minorHAnsi"/>
                <w:bCs/>
                <w:sz w:val="20"/>
                <w:szCs w:val="20"/>
              </w:rPr>
            </w:pPr>
          </w:p>
        </w:tc>
        <w:tc>
          <w:tcPr>
            <w:tcW w:w="1194" w:type="pct"/>
            <w:shd w:val="clear" w:color="auto" w:fill="auto"/>
          </w:tcPr>
          <w:p w14:paraId="7E4B1435" w14:textId="77777777" w:rsidR="004271FA" w:rsidRPr="000B1A57" w:rsidRDefault="004271FA" w:rsidP="004271FA">
            <w:pPr>
              <w:spacing w:after="0" w:line="240" w:lineRule="auto"/>
              <w:rPr>
                <w:rFonts w:eastAsia="Times New Roman" w:cstheme="minorHAnsi"/>
                <w:bCs/>
                <w:sz w:val="20"/>
                <w:szCs w:val="20"/>
              </w:rPr>
            </w:pPr>
            <w:r w:rsidRPr="000B1A57">
              <w:rPr>
                <w:rFonts w:eastAsia="Times New Roman" w:cstheme="minorHAnsi"/>
                <w:color w:val="000000" w:themeColor="text1"/>
                <w:sz w:val="20"/>
                <w:szCs w:val="20"/>
              </w:rPr>
              <w:t>3% or Less: None</w:t>
            </w:r>
            <w:r w:rsidRPr="000B1A57">
              <w:rPr>
                <w:rFonts w:eastAsia="Times New Roman" w:cstheme="minorHAnsi"/>
                <w:color w:val="000000" w:themeColor="text1"/>
                <w:sz w:val="20"/>
                <w:szCs w:val="20"/>
              </w:rPr>
              <w:br/>
            </w:r>
            <w:r w:rsidRPr="000B1A57">
              <w:rPr>
                <w:rFonts w:eastAsia="Times New Roman" w:cstheme="minorHAnsi"/>
                <w:bCs/>
                <w:sz w:val="20"/>
                <w:szCs w:val="20"/>
              </w:rPr>
              <w:t>3.01</w:t>
            </w:r>
            <w:proofErr w:type="gramStart"/>
            <w:r w:rsidRPr="000B1A57">
              <w:rPr>
                <w:rFonts w:eastAsia="Times New Roman" w:cstheme="minorHAnsi"/>
                <w:bCs/>
                <w:sz w:val="20"/>
                <w:szCs w:val="20"/>
              </w:rPr>
              <w:t>%  -</w:t>
            </w:r>
            <w:proofErr w:type="gramEnd"/>
            <w:r w:rsidRPr="000B1A57">
              <w:rPr>
                <w:rFonts w:eastAsia="Times New Roman" w:cstheme="minorHAnsi"/>
                <w:bCs/>
                <w:sz w:val="20"/>
                <w:szCs w:val="20"/>
              </w:rPr>
              <w:t xml:space="preserve"> 3.4%:  25%</w:t>
            </w:r>
          </w:p>
          <w:p w14:paraId="21533981" w14:textId="77777777" w:rsidR="004271FA" w:rsidRPr="000B1A57" w:rsidRDefault="004271FA" w:rsidP="004271FA">
            <w:pPr>
              <w:spacing w:after="0" w:line="240" w:lineRule="auto"/>
              <w:rPr>
                <w:rFonts w:eastAsia="Times New Roman" w:cstheme="minorHAnsi"/>
                <w:bCs/>
                <w:sz w:val="20"/>
                <w:szCs w:val="20"/>
              </w:rPr>
            </w:pPr>
            <w:r w:rsidRPr="000B1A57">
              <w:rPr>
                <w:rFonts w:eastAsia="Times New Roman" w:cstheme="minorHAnsi"/>
                <w:bCs/>
                <w:sz w:val="20"/>
                <w:szCs w:val="20"/>
              </w:rPr>
              <w:t>3.41% – 3.7%:  50%</w:t>
            </w:r>
          </w:p>
          <w:p w14:paraId="10D1D445" w14:textId="77777777" w:rsidR="004271FA" w:rsidRPr="000B1A57" w:rsidRDefault="004271FA" w:rsidP="004271FA">
            <w:pPr>
              <w:spacing w:after="0" w:line="240" w:lineRule="auto"/>
              <w:rPr>
                <w:rFonts w:eastAsia="Times New Roman" w:cstheme="minorHAnsi"/>
                <w:bCs/>
                <w:sz w:val="20"/>
                <w:szCs w:val="20"/>
              </w:rPr>
            </w:pPr>
            <w:r w:rsidRPr="000B1A57">
              <w:rPr>
                <w:rFonts w:eastAsia="Times New Roman" w:cstheme="minorHAnsi"/>
                <w:bCs/>
                <w:sz w:val="20"/>
                <w:szCs w:val="20"/>
              </w:rPr>
              <w:t>3.71% - 3.99% 75%</w:t>
            </w:r>
          </w:p>
          <w:p w14:paraId="3F06621F" w14:textId="5CC91CB4" w:rsidR="004271FA" w:rsidRPr="000B1A57" w:rsidRDefault="004271FA" w:rsidP="004271FA">
            <w:pPr>
              <w:spacing w:after="0" w:line="240" w:lineRule="auto"/>
              <w:rPr>
                <w:rFonts w:eastAsia="Times New Roman" w:cstheme="minorHAnsi"/>
                <w:bCs/>
                <w:sz w:val="20"/>
                <w:szCs w:val="20"/>
              </w:rPr>
            </w:pPr>
            <w:r w:rsidRPr="000B1A57">
              <w:rPr>
                <w:rFonts w:eastAsia="Times New Roman" w:cstheme="minorHAnsi"/>
                <w:bCs/>
                <w:sz w:val="20"/>
                <w:szCs w:val="20"/>
              </w:rPr>
              <w:t>Greater than 4%: 100%</w:t>
            </w:r>
          </w:p>
        </w:tc>
        <w:tc>
          <w:tcPr>
            <w:tcW w:w="637" w:type="pct"/>
            <w:shd w:val="clear" w:color="auto" w:fill="auto"/>
          </w:tcPr>
          <w:p w14:paraId="72EF1E58" w14:textId="516BEC66" w:rsidR="004271FA" w:rsidRPr="000B1A57" w:rsidRDefault="004271FA" w:rsidP="004271FA">
            <w:pPr>
              <w:spacing w:after="0" w:line="240" w:lineRule="auto"/>
              <w:rPr>
                <w:rFonts w:eastAsia="Times New Roman" w:cstheme="minorHAnsi"/>
                <w:color w:val="000000"/>
                <w:sz w:val="20"/>
                <w:szCs w:val="20"/>
              </w:rPr>
            </w:pPr>
            <w:r w:rsidRPr="000B1A57">
              <w:rPr>
                <w:rFonts w:eastAsia="Times New Roman" w:cstheme="minorHAnsi"/>
                <w:color w:val="000000"/>
                <w:sz w:val="20"/>
                <w:szCs w:val="20"/>
              </w:rPr>
              <w:t>Measured and reported annually</w:t>
            </w:r>
            <w:r w:rsidRPr="000B1A57">
              <w:rPr>
                <w:rFonts w:eastAsia="Times New Roman" w:cstheme="minorHAnsi"/>
                <w:color w:val="000000" w:themeColor="text1"/>
                <w:sz w:val="20"/>
                <w:szCs w:val="20"/>
              </w:rPr>
              <w:t xml:space="preserve"> </w:t>
            </w:r>
          </w:p>
        </w:tc>
      </w:tr>
      <w:tr w:rsidR="004271FA" w:rsidRPr="000B1A57" w14:paraId="07A51E31" w14:textId="77777777" w:rsidTr="004271FA">
        <w:trPr>
          <w:trHeight w:val="1440"/>
        </w:trPr>
        <w:tc>
          <w:tcPr>
            <w:tcW w:w="710" w:type="pct"/>
            <w:shd w:val="clear" w:color="auto" w:fill="auto"/>
          </w:tcPr>
          <w:p w14:paraId="5CC9CA01" w14:textId="205B0C42" w:rsidR="004271FA" w:rsidRPr="000B1A57" w:rsidRDefault="004271FA" w:rsidP="004271FA">
            <w:pPr>
              <w:spacing w:after="0" w:line="240" w:lineRule="auto"/>
              <w:rPr>
                <w:rFonts w:eastAsia="Times New Roman" w:cstheme="minorHAnsi"/>
                <w:color w:val="000000"/>
                <w:sz w:val="20"/>
                <w:szCs w:val="20"/>
              </w:rPr>
            </w:pPr>
            <w:r w:rsidRPr="000B1A57">
              <w:rPr>
                <w:rFonts w:eastAsia="Times New Roman" w:cstheme="minorHAnsi"/>
                <w:color w:val="000000"/>
                <w:sz w:val="20"/>
                <w:szCs w:val="20"/>
              </w:rPr>
              <w:t>EAP Member Satisfaction</w:t>
            </w:r>
          </w:p>
        </w:tc>
        <w:tc>
          <w:tcPr>
            <w:tcW w:w="716" w:type="pct"/>
            <w:shd w:val="clear" w:color="auto" w:fill="auto"/>
          </w:tcPr>
          <w:p w14:paraId="4457643A" w14:textId="77B5EB55" w:rsidR="004271FA" w:rsidRPr="000B1A57" w:rsidRDefault="00922231" w:rsidP="004271FA">
            <w:pPr>
              <w:spacing w:after="0" w:line="240" w:lineRule="auto"/>
              <w:rPr>
                <w:rFonts w:eastAsia="Times New Roman" w:cstheme="minorHAnsi"/>
                <w:color w:val="000000"/>
                <w:sz w:val="20"/>
                <w:szCs w:val="20"/>
              </w:rPr>
            </w:pPr>
            <w:r>
              <w:rPr>
                <w:rFonts w:eastAsia="Times New Roman" w:cstheme="minorHAnsi"/>
                <w:color w:val="000000"/>
                <w:sz w:val="20"/>
                <w:szCs w:val="20"/>
              </w:rPr>
              <w:t>2.0% annually</w:t>
            </w:r>
          </w:p>
        </w:tc>
        <w:tc>
          <w:tcPr>
            <w:tcW w:w="1742" w:type="pct"/>
            <w:shd w:val="clear" w:color="auto" w:fill="auto"/>
          </w:tcPr>
          <w:p w14:paraId="48C8DB00" w14:textId="77777777" w:rsidR="004271FA" w:rsidRPr="000B1A57" w:rsidRDefault="004271FA" w:rsidP="004271FA">
            <w:pPr>
              <w:spacing w:after="0" w:line="240" w:lineRule="auto"/>
              <w:rPr>
                <w:rFonts w:eastAsia="Times New Roman" w:cstheme="minorHAnsi"/>
                <w:sz w:val="20"/>
                <w:szCs w:val="20"/>
              </w:rPr>
            </w:pPr>
            <w:r w:rsidRPr="000B1A57">
              <w:rPr>
                <w:rFonts w:eastAsia="Times New Roman" w:cstheme="minorHAnsi"/>
                <w:sz w:val="20"/>
                <w:szCs w:val="20"/>
              </w:rPr>
              <w:t xml:space="preserve">A minimum average score of 90% will be attained on the EAP Member satisfaction survey. Members ages 18 and older will be asked to rate their satisfaction with EAP program using a </w:t>
            </w:r>
            <w:proofErr w:type="gramStart"/>
            <w:r w:rsidRPr="000B1A57">
              <w:rPr>
                <w:rFonts w:eastAsia="Times New Roman" w:cstheme="minorHAnsi"/>
                <w:sz w:val="20"/>
                <w:szCs w:val="20"/>
              </w:rPr>
              <w:t>4 point</w:t>
            </w:r>
            <w:proofErr w:type="gramEnd"/>
            <w:r w:rsidRPr="000B1A57">
              <w:rPr>
                <w:rFonts w:eastAsia="Times New Roman" w:cstheme="minorHAnsi"/>
                <w:sz w:val="20"/>
                <w:szCs w:val="20"/>
              </w:rPr>
              <w:t xml:space="preserve"> scale.   The response is scored by dividing (i) the total number of Members who respond positively by (ii) the total number of Members who respond to the EAP member satisfaction survey.  The survey will be given to Members enrolled in an EAP service who agree to participate in the survey.   This Guarantee requires a minimum of 100 of Member responses.  This will be measured with Employer-specific Data.</w:t>
            </w:r>
          </w:p>
          <w:p w14:paraId="67ACD312" w14:textId="77777777" w:rsidR="004271FA" w:rsidRPr="000B1A57" w:rsidRDefault="004271FA" w:rsidP="004271FA">
            <w:pPr>
              <w:spacing w:after="0" w:line="240" w:lineRule="auto"/>
              <w:rPr>
                <w:rFonts w:eastAsia="Times New Roman" w:cstheme="minorHAnsi"/>
                <w:bCs/>
                <w:sz w:val="20"/>
                <w:szCs w:val="20"/>
              </w:rPr>
            </w:pPr>
          </w:p>
        </w:tc>
        <w:tc>
          <w:tcPr>
            <w:tcW w:w="1194" w:type="pct"/>
            <w:shd w:val="clear" w:color="auto" w:fill="auto"/>
          </w:tcPr>
          <w:p w14:paraId="5C86580E" w14:textId="77777777" w:rsidR="004271FA" w:rsidRPr="000B1A57" w:rsidRDefault="004271FA" w:rsidP="004271FA">
            <w:pPr>
              <w:spacing w:after="0" w:line="240" w:lineRule="auto"/>
              <w:rPr>
                <w:rFonts w:eastAsia="Times New Roman" w:cstheme="minorHAnsi"/>
                <w:sz w:val="20"/>
                <w:szCs w:val="20"/>
              </w:rPr>
            </w:pPr>
            <w:r w:rsidRPr="000B1A57">
              <w:rPr>
                <w:rFonts w:eastAsia="Times New Roman" w:cstheme="minorHAnsi"/>
                <w:sz w:val="20"/>
                <w:szCs w:val="20"/>
              </w:rPr>
              <w:t>90% or Greater: None</w:t>
            </w:r>
          </w:p>
          <w:p w14:paraId="28ECEEBF" w14:textId="77777777" w:rsidR="004271FA" w:rsidRPr="000B1A57" w:rsidRDefault="004271FA" w:rsidP="004271FA">
            <w:pPr>
              <w:spacing w:after="0" w:line="240" w:lineRule="auto"/>
              <w:rPr>
                <w:rFonts w:eastAsia="Times New Roman" w:cstheme="minorHAnsi"/>
                <w:sz w:val="20"/>
                <w:szCs w:val="20"/>
              </w:rPr>
            </w:pPr>
            <w:r w:rsidRPr="000B1A57">
              <w:rPr>
                <w:rFonts w:eastAsia="Times New Roman" w:cstheme="minorHAnsi"/>
                <w:sz w:val="20"/>
                <w:szCs w:val="20"/>
              </w:rPr>
              <w:t>87.5% - 89.9%: 25%</w:t>
            </w:r>
          </w:p>
          <w:p w14:paraId="248FF12D" w14:textId="77777777" w:rsidR="004271FA" w:rsidRPr="000B1A57" w:rsidRDefault="004271FA" w:rsidP="004271FA">
            <w:pPr>
              <w:spacing w:after="0" w:line="240" w:lineRule="auto"/>
              <w:rPr>
                <w:rFonts w:eastAsia="Times New Roman" w:cstheme="minorHAnsi"/>
                <w:sz w:val="20"/>
                <w:szCs w:val="20"/>
              </w:rPr>
            </w:pPr>
            <w:r w:rsidRPr="000B1A57">
              <w:rPr>
                <w:rFonts w:eastAsia="Times New Roman" w:cstheme="minorHAnsi"/>
                <w:sz w:val="20"/>
                <w:szCs w:val="20"/>
              </w:rPr>
              <w:t>85.0% - 87.4%: 50%</w:t>
            </w:r>
          </w:p>
          <w:p w14:paraId="41241261" w14:textId="77777777" w:rsidR="004271FA" w:rsidRPr="000B1A57" w:rsidRDefault="004271FA" w:rsidP="004271FA">
            <w:pPr>
              <w:spacing w:after="0" w:line="240" w:lineRule="auto"/>
              <w:rPr>
                <w:rFonts w:eastAsia="Times New Roman" w:cstheme="minorHAnsi"/>
                <w:sz w:val="20"/>
                <w:szCs w:val="20"/>
              </w:rPr>
            </w:pPr>
            <w:r w:rsidRPr="000B1A57">
              <w:rPr>
                <w:rFonts w:eastAsia="Times New Roman" w:cstheme="minorHAnsi"/>
                <w:sz w:val="20"/>
                <w:szCs w:val="20"/>
              </w:rPr>
              <w:t>83.0% - 84.9%: 75%</w:t>
            </w:r>
          </w:p>
          <w:p w14:paraId="6C2A36BF" w14:textId="1FE1F493" w:rsidR="004271FA" w:rsidRPr="000B1A57" w:rsidRDefault="004271FA" w:rsidP="004271FA">
            <w:pPr>
              <w:spacing w:after="0" w:line="240" w:lineRule="auto"/>
              <w:rPr>
                <w:rFonts w:eastAsia="Times New Roman" w:cstheme="minorHAnsi"/>
                <w:bCs/>
                <w:sz w:val="20"/>
                <w:szCs w:val="20"/>
              </w:rPr>
            </w:pPr>
            <w:r w:rsidRPr="000B1A57">
              <w:rPr>
                <w:rFonts w:eastAsia="Times New Roman" w:cstheme="minorHAnsi"/>
                <w:sz w:val="20"/>
                <w:szCs w:val="20"/>
              </w:rPr>
              <w:t>Less than 83.0%: 100%</w:t>
            </w:r>
          </w:p>
        </w:tc>
        <w:tc>
          <w:tcPr>
            <w:tcW w:w="637" w:type="pct"/>
            <w:shd w:val="clear" w:color="auto" w:fill="auto"/>
          </w:tcPr>
          <w:p w14:paraId="2A833C18" w14:textId="35C6A2A9" w:rsidR="004271FA" w:rsidRPr="000B1A57" w:rsidRDefault="004271FA" w:rsidP="004271FA">
            <w:pPr>
              <w:spacing w:after="0" w:line="240" w:lineRule="auto"/>
              <w:rPr>
                <w:rFonts w:eastAsia="Times New Roman" w:cstheme="minorHAnsi"/>
                <w:color w:val="000000"/>
                <w:sz w:val="20"/>
                <w:szCs w:val="20"/>
              </w:rPr>
            </w:pPr>
            <w:r w:rsidRPr="000B1A57">
              <w:rPr>
                <w:rFonts w:eastAsia="Times New Roman" w:cstheme="minorHAnsi"/>
                <w:color w:val="000000"/>
                <w:sz w:val="20"/>
                <w:szCs w:val="20"/>
              </w:rPr>
              <w:t>Measured and reported annually</w:t>
            </w:r>
          </w:p>
        </w:tc>
      </w:tr>
      <w:tr w:rsidR="00502E78" w:rsidRPr="000B1A57" w14:paraId="50DB632A" w14:textId="77777777" w:rsidTr="004271FA">
        <w:trPr>
          <w:trHeight w:val="1440"/>
        </w:trPr>
        <w:tc>
          <w:tcPr>
            <w:tcW w:w="710" w:type="pct"/>
            <w:shd w:val="clear" w:color="auto" w:fill="auto"/>
          </w:tcPr>
          <w:p w14:paraId="3D339C1B" w14:textId="482A76C0" w:rsidR="00502E78" w:rsidRPr="000B1A57" w:rsidRDefault="00502E78" w:rsidP="00502E78">
            <w:pPr>
              <w:spacing w:after="0" w:line="240" w:lineRule="auto"/>
              <w:rPr>
                <w:rFonts w:eastAsia="Times New Roman" w:cstheme="minorHAnsi"/>
                <w:color w:val="000000"/>
                <w:sz w:val="20"/>
                <w:szCs w:val="20"/>
              </w:rPr>
            </w:pPr>
            <w:r w:rsidRPr="000B1A57">
              <w:rPr>
                <w:rFonts w:eastAsia="Times New Roman" w:cstheme="minorHAnsi"/>
                <w:color w:val="000000"/>
                <w:sz w:val="20"/>
                <w:szCs w:val="20"/>
              </w:rPr>
              <w:lastRenderedPageBreak/>
              <w:t>EAP Follow-up</w:t>
            </w:r>
          </w:p>
        </w:tc>
        <w:tc>
          <w:tcPr>
            <w:tcW w:w="716" w:type="pct"/>
            <w:shd w:val="clear" w:color="auto" w:fill="auto"/>
          </w:tcPr>
          <w:p w14:paraId="7FF88DD3" w14:textId="1110E0F1" w:rsidR="00502E78" w:rsidRPr="00BE4D6A" w:rsidRDefault="00922231" w:rsidP="00502E78">
            <w:pPr>
              <w:spacing w:after="0" w:line="240" w:lineRule="auto"/>
              <w:rPr>
                <w:rFonts w:eastAsia="Times New Roman" w:cstheme="minorHAnsi"/>
                <w:color w:val="000000"/>
                <w:sz w:val="20"/>
                <w:szCs w:val="20"/>
              </w:rPr>
            </w:pPr>
            <w:r>
              <w:rPr>
                <w:rFonts w:eastAsia="Times New Roman" w:cstheme="minorHAnsi"/>
                <w:color w:val="000000"/>
                <w:sz w:val="20"/>
                <w:szCs w:val="20"/>
              </w:rPr>
              <w:t>2.0% annually</w:t>
            </w:r>
          </w:p>
        </w:tc>
        <w:tc>
          <w:tcPr>
            <w:tcW w:w="1742" w:type="pct"/>
            <w:shd w:val="clear" w:color="auto" w:fill="auto"/>
          </w:tcPr>
          <w:p w14:paraId="653A524E" w14:textId="23BAB14B" w:rsidR="00C36705" w:rsidRDefault="00C36705" w:rsidP="00C36705">
            <w:pPr>
              <w:spacing w:after="0" w:line="240" w:lineRule="auto"/>
              <w:rPr>
                <w:sz w:val="20"/>
                <w:szCs w:val="20"/>
              </w:rPr>
            </w:pPr>
            <w:r>
              <w:rPr>
                <w:sz w:val="20"/>
                <w:szCs w:val="20"/>
              </w:rPr>
              <w:t>A minimum of 95</w:t>
            </w:r>
            <w:r w:rsidRPr="00C36705">
              <w:rPr>
                <w:sz w:val="20"/>
                <w:szCs w:val="20"/>
              </w:rPr>
              <w:t>% of Identified Members will have at least 1 outreach call</w:t>
            </w:r>
            <w:r>
              <w:rPr>
                <w:sz w:val="20"/>
                <w:szCs w:val="20"/>
              </w:rPr>
              <w:t xml:space="preserve"> or email</w:t>
            </w:r>
            <w:r w:rsidRPr="00C36705">
              <w:rPr>
                <w:sz w:val="20"/>
                <w:szCs w:val="20"/>
              </w:rPr>
              <w:t xml:space="preserve"> (follow-up) within </w:t>
            </w:r>
            <w:r w:rsidR="00166176">
              <w:rPr>
                <w:sz w:val="20"/>
                <w:szCs w:val="20"/>
              </w:rPr>
              <w:t>2</w:t>
            </w:r>
            <w:r w:rsidR="00B168C2">
              <w:rPr>
                <w:sz w:val="20"/>
                <w:szCs w:val="20"/>
              </w:rPr>
              <w:t xml:space="preserve"> business days </w:t>
            </w:r>
            <w:r w:rsidRPr="00C36705">
              <w:rPr>
                <w:sz w:val="20"/>
                <w:szCs w:val="20"/>
              </w:rPr>
              <w:t>when the Member agrees to a follow-up call</w:t>
            </w:r>
            <w:r>
              <w:rPr>
                <w:sz w:val="20"/>
                <w:szCs w:val="20"/>
              </w:rPr>
              <w:t xml:space="preserve"> or email</w:t>
            </w:r>
            <w:r w:rsidRPr="00C36705">
              <w:rPr>
                <w:sz w:val="20"/>
                <w:szCs w:val="20"/>
              </w:rPr>
              <w:t xml:space="preserve">. This Guarantee will be calculated by dividing the number of Identified Members with at least 1 outreach call </w:t>
            </w:r>
            <w:r>
              <w:rPr>
                <w:sz w:val="20"/>
                <w:szCs w:val="20"/>
              </w:rPr>
              <w:t xml:space="preserve">or email </w:t>
            </w:r>
            <w:r w:rsidRPr="00C36705">
              <w:rPr>
                <w:sz w:val="20"/>
                <w:szCs w:val="20"/>
              </w:rPr>
              <w:t>(follow-up) divided by the total number of urgent and emergent cases where the Identified Members agree to a follow-up call</w:t>
            </w:r>
            <w:r>
              <w:rPr>
                <w:sz w:val="20"/>
                <w:szCs w:val="20"/>
              </w:rPr>
              <w:t xml:space="preserve"> or email</w:t>
            </w:r>
            <w:r w:rsidRPr="00C36705">
              <w:rPr>
                <w:sz w:val="20"/>
                <w:szCs w:val="20"/>
              </w:rPr>
              <w:t>. This will be measured with Employer-specific Data.</w:t>
            </w:r>
          </w:p>
          <w:p w14:paraId="7D65C592" w14:textId="33EB4EC9" w:rsidR="00502E78" w:rsidRPr="00C36705" w:rsidRDefault="00502E78" w:rsidP="00C36705">
            <w:pPr>
              <w:spacing w:after="0" w:line="240" w:lineRule="auto"/>
              <w:rPr>
                <w:sz w:val="20"/>
                <w:szCs w:val="20"/>
              </w:rPr>
            </w:pPr>
          </w:p>
        </w:tc>
        <w:tc>
          <w:tcPr>
            <w:tcW w:w="1194" w:type="pct"/>
            <w:shd w:val="clear" w:color="auto" w:fill="auto"/>
          </w:tcPr>
          <w:p w14:paraId="3AF075D3" w14:textId="77777777" w:rsidR="00502E78" w:rsidRPr="000B1A57" w:rsidRDefault="00502E78" w:rsidP="00502E78">
            <w:pPr>
              <w:spacing w:after="0" w:line="240" w:lineRule="auto"/>
              <w:rPr>
                <w:rFonts w:eastAsia="Times New Roman" w:cstheme="minorHAnsi"/>
                <w:sz w:val="20"/>
                <w:szCs w:val="20"/>
              </w:rPr>
            </w:pPr>
            <w:r w:rsidRPr="000B1A57">
              <w:rPr>
                <w:rFonts w:eastAsia="Times New Roman" w:cstheme="minorHAnsi"/>
                <w:sz w:val="20"/>
                <w:szCs w:val="20"/>
              </w:rPr>
              <w:t>95% or Greater: None</w:t>
            </w:r>
          </w:p>
          <w:p w14:paraId="35E4FCCA" w14:textId="77777777" w:rsidR="00502E78" w:rsidRPr="000B1A57" w:rsidRDefault="00502E78" w:rsidP="00502E78">
            <w:pPr>
              <w:spacing w:after="0" w:line="240" w:lineRule="auto"/>
              <w:rPr>
                <w:rFonts w:eastAsia="Times New Roman" w:cstheme="minorHAnsi"/>
                <w:sz w:val="20"/>
                <w:szCs w:val="20"/>
              </w:rPr>
            </w:pPr>
            <w:r w:rsidRPr="000B1A57">
              <w:rPr>
                <w:rFonts w:eastAsia="Times New Roman" w:cstheme="minorHAnsi"/>
                <w:sz w:val="20"/>
                <w:szCs w:val="20"/>
              </w:rPr>
              <w:t>92.5% - 94.9%: 25%</w:t>
            </w:r>
          </w:p>
          <w:p w14:paraId="2CC2A2C2" w14:textId="77777777" w:rsidR="00502E78" w:rsidRPr="000B1A57" w:rsidRDefault="00502E78" w:rsidP="00502E78">
            <w:pPr>
              <w:spacing w:after="0" w:line="240" w:lineRule="auto"/>
              <w:rPr>
                <w:rFonts w:eastAsia="Times New Roman" w:cstheme="minorHAnsi"/>
                <w:sz w:val="20"/>
                <w:szCs w:val="20"/>
              </w:rPr>
            </w:pPr>
            <w:r w:rsidRPr="000B1A57">
              <w:rPr>
                <w:rFonts w:eastAsia="Times New Roman" w:cstheme="minorHAnsi"/>
                <w:sz w:val="20"/>
                <w:szCs w:val="20"/>
              </w:rPr>
              <w:t>90.0% - 92.4%: 50%</w:t>
            </w:r>
          </w:p>
          <w:p w14:paraId="41EAA9FE" w14:textId="77777777" w:rsidR="00502E78" w:rsidRPr="000B1A57" w:rsidRDefault="00502E78" w:rsidP="00502E78">
            <w:pPr>
              <w:spacing w:after="0" w:line="240" w:lineRule="auto"/>
              <w:rPr>
                <w:rFonts w:eastAsia="Times New Roman" w:cstheme="minorHAnsi"/>
                <w:sz w:val="20"/>
                <w:szCs w:val="20"/>
              </w:rPr>
            </w:pPr>
            <w:r w:rsidRPr="000B1A57">
              <w:rPr>
                <w:rFonts w:eastAsia="Times New Roman" w:cstheme="minorHAnsi"/>
                <w:sz w:val="20"/>
                <w:szCs w:val="20"/>
              </w:rPr>
              <w:t>88.0% - 89.9%: 75%</w:t>
            </w:r>
          </w:p>
          <w:p w14:paraId="44595DDC" w14:textId="628853FB" w:rsidR="00502E78" w:rsidRPr="000B1A57" w:rsidRDefault="00502E78" w:rsidP="00502E78">
            <w:pPr>
              <w:spacing w:after="0" w:line="240" w:lineRule="auto"/>
              <w:rPr>
                <w:rFonts w:eastAsia="Times New Roman" w:cstheme="minorHAnsi"/>
                <w:bCs/>
                <w:sz w:val="20"/>
                <w:szCs w:val="20"/>
              </w:rPr>
            </w:pPr>
            <w:r w:rsidRPr="000B1A57">
              <w:rPr>
                <w:rFonts w:eastAsia="Times New Roman" w:cstheme="minorHAnsi"/>
                <w:sz w:val="20"/>
                <w:szCs w:val="20"/>
              </w:rPr>
              <w:t>Less than 88.0%: 100%</w:t>
            </w:r>
          </w:p>
        </w:tc>
        <w:tc>
          <w:tcPr>
            <w:tcW w:w="637" w:type="pct"/>
            <w:shd w:val="clear" w:color="auto" w:fill="auto"/>
          </w:tcPr>
          <w:p w14:paraId="3372A973" w14:textId="230AB4CE" w:rsidR="00502E78" w:rsidRPr="000B1A57" w:rsidRDefault="00502E78" w:rsidP="00502E78">
            <w:pPr>
              <w:spacing w:after="0" w:line="240" w:lineRule="auto"/>
              <w:rPr>
                <w:rFonts w:eastAsia="Times New Roman" w:cstheme="minorHAnsi"/>
                <w:color w:val="000000"/>
                <w:sz w:val="20"/>
                <w:szCs w:val="20"/>
              </w:rPr>
            </w:pPr>
            <w:r w:rsidRPr="000B1A57">
              <w:rPr>
                <w:rFonts w:eastAsia="Times New Roman" w:cstheme="minorHAnsi"/>
                <w:color w:val="000000"/>
                <w:sz w:val="20"/>
                <w:szCs w:val="20"/>
              </w:rPr>
              <w:t>Measured and reported annually</w:t>
            </w:r>
          </w:p>
        </w:tc>
      </w:tr>
      <w:tr w:rsidR="004271FA" w:rsidRPr="000B1A57" w14:paraId="230940EE" w14:textId="77777777" w:rsidTr="001C64D9">
        <w:trPr>
          <w:trHeight w:val="1250"/>
        </w:trPr>
        <w:tc>
          <w:tcPr>
            <w:tcW w:w="710" w:type="pct"/>
            <w:shd w:val="clear" w:color="auto" w:fill="auto"/>
          </w:tcPr>
          <w:p w14:paraId="41CBA6DE" w14:textId="6F8655E3" w:rsidR="004271FA" w:rsidRPr="000B1A57" w:rsidRDefault="004271FA" w:rsidP="004271FA">
            <w:pPr>
              <w:spacing w:after="0" w:line="240" w:lineRule="auto"/>
              <w:rPr>
                <w:rFonts w:eastAsia="Times New Roman" w:cstheme="minorHAnsi"/>
                <w:color w:val="000000"/>
                <w:sz w:val="20"/>
                <w:szCs w:val="20"/>
              </w:rPr>
            </w:pPr>
            <w:r w:rsidRPr="000B1A57">
              <w:rPr>
                <w:rFonts w:eastAsia="Times New Roman" w:cstheme="minorHAnsi"/>
                <w:color w:val="000000" w:themeColor="text1"/>
                <w:sz w:val="20"/>
                <w:szCs w:val="20"/>
              </w:rPr>
              <w:t>EAP Network Access</w:t>
            </w:r>
          </w:p>
        </w:tc>
        <w:tc>
          <w:tcPr>
            <w:tcW w:w="716" w:type="pct"/>
            <w:shd w:val="clear" w:color="auto" w:fill="auto"/>
          </w:tcPr>
          <w:p w14:paraId="3CCD7CF9" w14:textId="76067108" w:rsidR="004271FA" w:rsidRPr="000B1A57" w:rsidRDefault="00922231" w:rsidP="004271FA">
            <w:pPr>
              <w:spacing w:after="0" w:line="240" w:lineRule="auto"/>
              <w:rPr>
                <w:rFonts w:eastAsia="Times New Roman" w:cstheme="minorHAnsi"/>
                <w:color w:val="000000"/>
                <w:sz w:val="20"/>
                <w:szCs w:val="20"/>
              </w:rPr>
            </w:pPr>
            <w:r>
              <w:rPr>
                <w:rFonts w:eastAsia="Times New Roman" w:cstheme="minorHAnsi"/>
                <w:color w:val="000000"/>
                <w:sz w:val="20"/>
                <w:szCs w:val="20"/>
              </w:rPr>
              <w:t>2.0% annually</w:t>
            </w:r>
          </w:p>
        </w:tc>
        <w:tc>
          <w:tcPr>
            <w:tcW w:w="1742" w:type="pct"/>
            <w:shd w:val="clear" w:color="auto" w:fill="auto"/>
          </w:tcPr>
          <w:p w14:paraId="5E6AAD92" w14:textId="1481F839" w:rsidR="00CD7964" w:rsidRPr="00FC01B1" w:rsidRDefault="00B168C2" w:rsidP="00CD7964">
            <w:pPr>
              <w:pStyle w:val="TableBodySmall"/>
              <w:spacing w:before="0" w:after="0" w:line="240" w:lineRule="auto"/>
              <w:jc w:val="both"/>
              <w:rPr>
                <w:rFonts w:asciiTheme="minorHAnsi" w:hAnsiTheme="minorHAnsi" w:cstheme="minorHAnsi"/>
                <w:sz w:val="20"/>
                <w:szCs w:val="20"/>
              </w:rPr>
            </w:pPr>
            <w:r>
              <w:rPr>
                <w:rFonts w:asciiTheme="minorHAnsi" w:hAnsiTheme="minorHAnsi" w:cstheme="minorHAnsi"/>
                <w:sz w:val="20"/>
                <w:szCs w:val="20"/>
              </w:rPr>
              <w:t>A minimum of 96</w:t>
            </w:r>
            <w:r w:rsidR="00CD7964" w:rsidRPr="00FC01B1">
              <w:rPr>
                <w:rFonts w:asciiTheme="minorHAnsi" w:hAnsiTheme="minorHAnsi" w:cstheme="minorHAnsi"/>
                <w:sz w:val="20"/>
                <w:szCs w:val="20"/>
              </w:rPr>
              <w:t>% of Members will have Member access.  Member Access is</w:t>
            </w:r>
            <w:r w:rsidR="00CD7964">
              <w:rPr>
                <w:rFonts w:asciiTheme="minorHAnsi" w:hAnsiTheme="minorHAnsi" w:cstheme="minorHAnsi"/>
                <w:sz w:val="20"/>
                <w:szCs w:val="20"/>
              </w:rPr>
              <w:t xml:space="preserve"> defined as access to at </w:t>
            </w:r>
            <w:r w:rsidR="001769F2">
              <w:rPr>
                <w:rFonts w:asciiTheme="minorHAnsi" w:hAnsiTheme="minorHAnsi" w:cstheme="minorHAnsi"/>
                <w:sz w:val="20"/>
                <w:szCs w:val="20"/>
              </w:rPr>
              <w:t>least 2</w:t>
            </w:r>
            <w:r w:rsidR="00CD7964">
              <w:rPr>
                <w:rFonts w:asciiTheme="minorHAnsi" w:hAnsiTheme="minorHAnsi" w:cstheme="minorHAnsi"/>
                <w:sz w:val="20"/>
                <w:szCs w:val="20"/>
              </w:rPr>
              <w:t xml:space="preserve"> Network Provider</w:t>
            </w:r>
            <w:r w:rsidR="001769F2">
              <w:rPr>
                <w:rFonts w:asciiTheme="minorHAnsi" w:hAnsiTheme="minorHAnsi" w:cstheme="minorHAnsi"/>
                <w:sz w:val="20"/>
                <w:szCs w:val="20"/>
              </w:rPr>
              <w:t>s</w:t>
            </w:r>
            <w:r w:rsidR="00CD7964" w:rsidRPr="00FC01B1">
              <w:rPr>
                <w:rFonts w:asciiTheme="minorHAnsi" w:hAnsiTheme="minorHAnsi" w:cstheme="minorHAnsi"/>
                <w:sz w:val="20"/>
                <w:szCs w:val="20"/>
              </w:rPr>
              <w:t xml:space="preserve"> in the following geographic areas:  </w:t>
            </w:r>
          </w:p>
          <w:p w14:paraId="3D919347" w14:textId="77777777" w:rsidR="00CD7964" w:rsidRPr="00FC01B1" w:rsidRDefault="00CD7964" w:rsidP="00CD7964">
            <w:pPr>
              <w:pStyle w:val="TableBodySmall"/>
              <w:spacing w:before="0" w:after="0" w:line="240" w:lineRule="auto"/>
              <w:jc w:val="both"/>
              <w:rPr>
                <w:rFonts w:asciiTheme="minorHAnsi" w:hAnsiTheme="minorHAnsi" w:cstheme="minorHAnsi"/>
                <w:sz w:val="20"/>
                <w:szCs w:val="20"/>
              </w:rPr>
            </w:pPr>
          </w:p>
          <w:p w14:paraId="14CBF173" w14:textId="77777777" w:rsidR="00CD7964" w:rsidRPr="00FC01B1" w:rsidRDefault="00CD7964" w:rsidP="00CD7964">
            <w:pPr>
              <w:pStyle w:val="TableBodySmall"/>
              <w:spacing w:before="0" w:after="0" w:line="240" w:lineRule="auto"/>
              <w:jc w:val="both"/>
              <w:rPr>
                <w:rFonts w:asciiTheme="minorHAnsi" w:hAnsiTheme="minorHAnsi" w:cstheme="minorHAnsi"/>
                <w:sz w:val="20"/>
                <w:szCs w:val="20"/>
              </w:rPr>
            </w:pPr>
            <w:r w:rsidRPr="00FC01B1">
              <w:rPr>
                <w:rFonts w:asciiTheme="minorHAnsi" w:hAnsiTheme="minorHAnsi" w:cstheme="minorHAnsi"/>
                <w:sz w:val="20"/>
                <w:szCs w:val="20"/>
              </w:rPr>
              <w:t>Urban:  10 miles</w:t>
            </w:r>
          </w:p>
          <w:p w14:paraId="6EFA7668" w14:textId="77777777" w:rsidR="00CD7964" w:rsidRPr="00FC01B1" w:rsidRDefault="00CD7964" w:rsidP="00CD7964">
            <w:pPr>
              <w:pStyle w:val="TableBodySmall"/>
              <w:spacing w:before="0" w:after="0" w:line="240" w:lineRule="auto"/>
              <w:jc w:val="both"/>
              <w:rPr>
                <w:rFonts w:asciiTheme="minorHAnsi" w:hAnsiTheme="minorHAnsi" w:cstheme="minorHAnsi"/>
                <w:sz w:val="20"/>
                <w:szCs w:val="20"/>
              </w:rPr>
            </w:pPr>
            <w:r w:rsidRPr="00FC01B1">
              <w:rPr>
                <w:rFonts w:asciiTheme="minorHAnsi" w:hAnsiTheme="minorHAnsi" w:cstheme="minorHAnsi"/>
                <w:sz w:val="20"/>
                <w:szCs w:val="20"/>
              </w:rPr>
              <w:t>Suburban:  20 miles</w:t>
            </w:r>
          </w:p>
          <w:p w14:paraId="199D6560" w14:textId="77777777" w:rsidR="00CD7964" w:rsidRPr="00FC01B1" w:rsidRDefault="00CD7964" w:rsidP="00CD7964">
            <w:pPr>
              <w:pStyle w:val="TableBodySmall"/>
              <w:spacing w:before="0" w:after="0" w:line="240" w:lineRule="auto"/>
              <w:jc w:val="both"/>
              <w:rPr>
                <w:rFonts w:asciiTheme="minorHAnsi" w:hAnsiTheme="minorHAnsi" w:cstheme="minorHAnsi"/>
                <w:sz w:val="20"/>
                <w:szCs w:val="20"/>
              </w:rPr>
            </w:pPr>
            <w:r w:rsidRPr="00FC01B1">
              <w:rPr>
                <w:rFonts w:asciiTheme="minorHAnsi" w:hAnsiTheme="minorHAnsi" w:cstheme="minorHAnsi"/>
                <w:sz w:val="20"/>
                <w:szCs w:val="20"/>
              </w:rPr>
              <w:t>Rural:  45 miles</w:t>
            </w:r>
          </w:p>
          <w:p w14:paraId="4646D570" w14:textId="77777777" w:rsidR="00CD7964" w:rsidRPr="00FC01B1" w:rsidRDefault="00CD7964" w:rsidP="00CD7964">
            <w:pPr>
              <w:pStyle w:val="TableBodySmall"/>
              <w:spacing w:before="0" w:after="0" w:line="240" w:lineRule="auto"/>
              <w:jc w:val="both"/>
              <w:rPr>
                <w:rFonts w:asciiTheme="minorHAnsi" w:hAnsiTheme="minorHAnsi" w:cstheme="minorHAnsi"/>
                <w:sz w:val="20"/>
                <w:szCs w:val="20"/>
              </w:rPr>
            </w:pPr>
          </w:p>
          <w:p w14:paraId="65BD3787" w14:textId="2A61E8FE" w:rsidR="004271FA" w:rsidRPr="00CD7964" w:rsidRDefault="00CD7964" w:rsidP="00CD7964">
            <w:pPr>
              <w:pStyle w:val="TableBodySmall"/>
              <w:spacing w:before="0" w:after="0" w:line="240" w:lineRule="auto"/>
              <w:rPr>
                <w:rFonts w:asciiTheme="minorHAnsi" w:hAnsiTheme="minorHAnsi" w:cstheme="minorHAnsi"/>
                <w:sz w:val="20"/>
                <w:szCs w:val="20"/>
              </w:rPr>
            </w:pPr>
            <w:r w:rsidRPr="00FC01B1">
              <w:rPr>
                <w:rFonts w:asciiTheme="minorHAnsi" w:hAnsiTheme="minorHAnsi" w:cstheme="minorHAnsi"/>
                <w:sz w:val="20"/>
                <w:szCs w:val="20"/>
              </w:rPr>
              <w:t xml:space="preserve">Member Access will be established by running a Geoaccess Report based on criteria established by </w:t>
            </w:r>
            <w:r>
              <w:rPr>
                <w:rFonts w:asciiTheme="minorHAnsi" w:hAnsiTheme="minorHAnsi" w:cstheme="minorHAnsi"/>
                <w:sz w:val="20"/>
                <w:szCs w:val="20"/>
              </w:rPr>
              <w:t>Anthem</w:t>
            </w:r>
            <w:r w:rsidRPr="00FC01B1">
              <w:rPr>
                <w:rFonts w:asciiTheme="minorHAnsi" w:hAnsiTheme="minorHAnsi" w:cstheme="minorHAnsi"/>
                <w:sz w:val="20"/>
                <w:szCs w:val="20"/>
              </w:rPr>
              <w:t>. This Guarantee will be calculated based on the number of Members with Member Access divided by the total number of Members.  This Guarantee will not include vision, dental or pharmacy Providers.  This will be measured with Employer-specific Data.</w:t>
            </w:r>
          </w:p>
          <w:p w14:paraId="32402CA2" w14:textId="339E94BF" w:rsidR="00790601" w:rsidRPr="00790601" w:rsidRDefault="00790601" w:rsidP="001C64D9">
            <w:pPr>
              <w:spacing w:after="0" w:line="240" w:lineRule="auto"/>
              <w:rPr>
                <w:rFonts w:cstheme="minorHAnsi"/>
                <w:sz w:val="20"/>
                <w:szCs w:val="20"/>
              </w:rPr>
            </w:pPr>
          </w:p>
        </w:tc>
        <w:tc>
          <w:tcPr>
            <w:tcW w:w="1194" w:type="pct"/>
            <w:shd w:val="clear" w:color="auto" w:fill="auto"/>
          </w:tcPr>
          <w:p w14:paraId="24C5107C" w14:textId="0823521A" w:rsidR="00CD7964" w:rsidRPr="00FC01B1" w:rsidRDefault="00B168C2" w:rsidP="00CD7964">
            <w:pPr>
              <w:spacing w:after="0" w:line="240" w:lineRule="auto"/>
              <w:rPr>
                <w:rFonts w:eastAsia="Times New Roman" w:cstheme="minorHAnsi"/>
                <w:color w:val="000000" w:themeColor="text1"/>
                <w:sz w:val="20"/>
                <w:szCs w:val="20"/>
              </w:rPr>
            </w:pPr>
            <w:r>
              <w:rPr>
                <w:rFonts w:eastAsia="Times New Roman" w:cstheme="minorHAnsi"/>
                <w:color w:val="000000" w:themeColor="text1"/>
                <w:sz w:val="20"/>
                <w:szCs w:val="20"/>
              </w:rPr>
              <w:t>96</w:t>
            </w:r>
            <w:r w:rsidR="00CD7964" w:rsidRPr="00FC01B1">
              <w:rPr>
                <w:rFonts w:eastAsia="Times New Roman" w:cstheme="minorHAnsi"/>
                <w:color w:val="000000" w:themeColor="text1"/>
                <w:sz w:val="20"/>
                <w:szCs w:val="20"/>
              </w:rPr>
              <w:t>% or Greater: None</w:t>
            </w:r>
          </w:p>
          <w:p w14:paraId="37162F01" w14:textId="291D27AC" w:rsidR="00CD7964" w:rsidRPr="00FC01B1" w:rsidRDefault="001769F2" w:rsidP="00CD7964">
            <w:pPr>
              <w:spacing w:after="0" w:line="240" w:lineRule="auto"/>
              <w:rPr>
                <w:rFonts w:eastAsia="Times New Roman" w:cstheme="minorHAnsi"/>
                <w:color w:val="000000" w:themeColor="text1"/>
                <w:sz w:val="20"/>
                <w:szCs w:val="20"/>
              </w:rPr>
            </w:pPr>
            <w:r>
              <w:rPr>
                <w:rFonts w:eastAsia="Times New Roman" w:cstheme="minorHAnsi"/>
                <w:color w:val="000000" w:themeColor="text1"/>
                <w:sz w:val="20"/>
                <w:szCs w:val="20"/>
              </w:rPr>
              <w:t>93.5% - 95</w:t>
            </w:r>
            <w:r w:rsidR="00CD7964" w:rsidRPr="00FC01B1">
              <w:rPr>
                <w:rFonts w:eastAsia="Times New Roman" w:cstheme="minorHAnsi"/>
                <w:color w:val="000000" w:themeColor="text1"/>
                <w:sz w:val="20"/>
                <w:szCs w:val="20"/>
              </w:rPr>
              <w:t>.9%: 25%</w:t>
            </w:r>
          </w:p>
          <w:p w14:paraId="6915F78D" w14:textId="1F5E4F28" w:rsidR="00CD7964" w:rsidRPr="00FC01B1" w:rsidRDefault="001769F2" w:rsidP="00CD7964">
            <w:pPr>
              <w:spacing w:after="0" w:line="240" w:lineRule="auto"/>
              <w:rPr>
                <w:rFonts w:eastAsia="Times New Roman" w:cstheme="minorHAnsi"/>
                <w:color w:val="000000" w:themeColor="text1"/>
                <w:sz w:val="20"/>
                <w:szCs w:val="20"/>
              </w:rPr>
            </w:pPr>
            <w:r>
              <w:rPr>
                <w:rFonts w:eastAsia="Times New Roman" w:cstheme="minorHAnsi"/>
                <w:color w:val="000000" w:themeColor="text1"/>
                <w:sz w:val="20"/>
                <w:szCs w:val="20"/>
              </w:rPr>
              <w:t>91.0% - 93</w:t>
            </w:r>
            <w:r w:rsidR="00CD7964" w:rsidRPr="00FC01B1">
              <w:rPr>
                <w:rFonts w:eastAsia="Times New Roman" w:cstheme="minorHAnsi"/>
                <w:color w:val="000000" w:themeColor="text1"/>
                <w:sz w:val="20"/>
                <w:szCs w:val="20"/>
              </w:rPr>
              <w:t>.4%: 50%</w:t>
            </w:r>
          </w:p>
          <w:p w14:paraId="0AC6D34A" w14:textId="782A3DB9" w:rsidR="00CD7964" w:rsidRPr="00FC01B1" w:rsidRDefault="001769F2" w:rsidP="00CD7964">
            <w:pPr>
              <w:spacing w:after="0" w:line="240" w:lineRule="auto"/>
              <w:rPr>
                <w:rFonts w:eastAsia="Times New Roman" w:cstheme="minorHAnsi"/>
                <w:color w:val="000000" w:themeColor="text1"/>
                <w:sz w:val="20"/>
                <w:szCs w:val="20"/>
              </w:rPr>
            </w:pPr>
            <w:r>
              <w:rPr>
                <w:rFonts w:eastAsia="Times New Roman" w:cstheme="minorHAnsi"/>
                <w:color w:val="000000" w:themeColor="text1"/>
                <w:sz w:val="20"/>
                <w:szCs w:val="20"/>
              </w:rPr>
              <w:t>89</w:t>
            </w:r>
            <w:r w:rsidR="00CD7964">
              <w:rPr>
                <w:rFonts w:eastAsia="Times New Roman" w:cstheme="minorHAnsi"/>
                <w:color w:val="000000" w:themeColor="text1"/>
                <w:sz w:val="20"/>
                <w:szCs w:val="20"/>
              </w:rPr>
              <w:t xml:space="preserve">.0% </w:t>
            </w:r>
            <w:r>
              <w:rPr>
                <w:rFonts w:eastAsia="Times New Roman" w:cstheme="minorHAnsi"/>
                <w:color w:val="000000" w:themeColor="text1"/>
                <w:sz w:val="20"/>
                <w:szCs w:val="20"/>
              </w:rPr>
              <w:t>- 90</w:t>
            </w:r>
            <w:r w:rsidR="00CD7964" w:rsidRPr="00FC01B1">
              <w:rPr>
                <w:rFonts w:eastAsia="Times New Roman" w:cstheme="minorHAnsi"/>
                <w:color w:val="000000" w:themeColor="text1"/>
                <w:sz w:val="20"/>
                <w:szCs w:val="20"/>
              </w:rPr>
              <w:t>.9%: 75%</w:t>
            </w:r>
          </w:p>
          <w:p w14:paraId="62FD03F6" w14:textId="28FD5315" w:rsidR="00790601" w:rsidRPr="000B1A57" w:rsidRDefault="001769F2" w:rsidP="00CD7964">
            <w:pPr>
              <w:spacing w:after="0" w:line="240" w:lineRule="auto"/>
              <w:rPr>
                <w:rFonts w:eastAsia="Times New Roman" w:cstheme="minorHAnsi"/>
                <w:bCs/>
                <w:sz w:val="20"/>
                <w:szCs w:val="20"/>
              </w:rPr>
            </w:pPr>
            <w:r>
              <w:rPr>
                <w:rFonts w:eastAsia="Times New Roman" w:cstheme="minorHAnsi"/>
                <w:color w:val="000000" w:themeColor="text1"/>
                <w:sz w:val="20"/>
                <w:szCs w:val="20"/>
              </w:rPr>
              <w:t>Less than 89</w:t>
            </w:r>
            <w:r w:rsidR="00CD7964" w:rsidRPr="00FC01B1">
              <w:rPr>
                <w:rFonts w:eastAsia="Times New Roman" w:cstheme="minorHAnsi"/>
                <w:color w:val="000000" w:themeColor="text1"/>
                <w:sz w:val="20"/>
                <w:szCs w:val="20"/>
              </w:rPr>
              <w:t>.0%: 100%</w:t>
            </w:r>
          </w:p>
        </w:tc>
        <w:tc>
          <w:tcPr>
            <w:tcW w:w="637" w:type="pct"/>
            <w:shd w:val="clear" w:color="auto" w:fill="auto"/>
          </w:tcPr>
          <w:p w14:paraId="1F8DEEA7" w14:textId="4B7C02DB" w:rsidR="004271FA" w:rsidRPr="000B1A57" w:rsidRDefault="004271FA" w:rsidP="004271FA">
            <w:pPr>
              <w:spacing w:after="0" w:line="240" w:lineRule="auto"/>
              <w:rPr>
                <w:rFonts w:eastAsia="Times New Roman" w:cstheme="minorHAnsi"/>
                <w:color w:val="000000"/>
                <w:sz w:val="20"/>
                <w:szCs w:val="20"/>
              </w:rPr>
            </w:pPr>
            <w:r w:rsidRPr="000B1A57">
              <w:rPr>
                <w:rFonts w:eastAsia="Times New Roman" w:cstheme="minorHAnsi"/>
                <w:color w:val="000000"/>
                <w:sz w:val="20"/>
                <w:szCs w:val="20"/>
              </w:rPr>
              <w:t>Measured and reported annually</w:t>
            </w:r>
          </w:p>
        </w:tc>
      </w:tr>
      <w:tr w:rsidR="004271FA" w:rsidRPr="000B1A57" w14:paraId="0FD1398B" w14:textId="77777777" w:rsidTr="001C64D9">
        <w:trPr>
          <w:trHeight w:val="1700"/>
        </w:trPr>
        <w:tc>
          <w:tcPr>
            <w:tcW w:w="710" w:type="pct"/>
            <w:shd w:val="clear" w:color="auto" w:fill="auto"/>
          </w:tcPr>
          <w:p w14:paraId="6503ADDD" w14:textId="682DD1E7" w:rsidR="004271FA" w:rsidRPr="000B1A57" w:rsidRDefault="004271FA" w:rsidP="004271FA">
            <w:pPr>
              <w:spacing w:after="0" w:line="240" w:lineRule="auto"/>
              <w:rPr>
                <w:rFonts w:eastAsia="Times New Roman" w:cstheme="minorHAnsi"/>
                <w:color w:val="000000"/>
                <w:sz w:val="20"/>
                <w:szCs w:val="20"/>
              </w:rPr>
            </w:pPr>
            <w:r w:rsidRPr="000B1A57">
              <w:rPr>
                <w:rFonts w:eastAsia="Times New Roman" w:cstheme="minorHAnsi"/>
                <w:color w:val="000000"/>
                <w:sz w:val="20"/>
                <w:szCs w:val="20"/>
              </w:rPr>
              <w:t>EAP Management Reports</w:t>
            </w:r>
          </w:p>
        </w:tc>
        <w:tc>
          <w:tcPr>
            <w:tcW w:w="716" w:type="pct"/>
            <w:shd w:val="clear" w:color="auto" w:fill="auto"/>
          </w:tcPr>
          <w:p w14:paraId="5931F038" w14:textId="5A1EFD3B" w:rsidR="004271FA" w:rsidRPr="000B1A57" w:rsidRDefault="00922231" w:rsidP="004271FA">
            <w:pPr>
              <w:spacing w:after="0" w:line="240" w:lineRule="auto"/>
              <w:rPr>
                <w:rFonts w:eastAsia="Times New Roman" w:cstheme="minorHAnsi"/>
                <w:color w:val="000000"/>
                <w:sz w:val="20"/>
                <w:szCs w:val="20"/>
              </w:rPr>
            </w:pPr>
            <w:r>
              <w:rPr>
                <w:rFonts w:eastAsia="Times New Roman" w:cstheme="minorHAnsi"/>
                <w:color w:val="000000"/>
                <w:sz w:val="20"/>
                <w:szCs w:val="20"/>
              </w:rPr>
              <w:t>2.0% annually</w:t>
            </w:r>
          </w:p>
        </w:tc>
        <w:tc>
          <w:tcPr>
            <w:tcW w:w="1742" w:type="pct"/>
            <w:shd w:val="clear" w:color="auto" w:fill="auto"/>
          </w:tcPr>
          <w:p w14:paraId="6BD974A0" w14:textId="77777777" w:rsidR="004271FA" w:rsidRPr="00790601" w:rsidRDefault="004271FA" w:rsidP="004271FA">
            <w:pPr>
              <w:spacing w:afterLines="200" w:after="480" w:line="240" w:lineRule="auto"/>
              <w:rPr>
                <w:rFonts w:eastAsia="Times New Roman" w:cstheme="minorHAnsi"/>
                <w:color w:val="000000"/>
                <w:sz w:val="20"/>
                <w:szCs w:val="20"/>
              </w:rPr>
            </w:pPr>
            <w:r w:rsidRPr="00790601">
              <w:rPr>
                <w:rFonts w:eastAsia="Times New Roman" w:cstheme="minorHAnsi"/>
                <w:bCs/>
                <w:sz w:val="20"/>
                <w:szCs w:val="20"/>
              </w:rPr>
              <w:t>Standard EAP reports will be made available to Employer by no later than 45 calendar days following the end of the quarter.  The reports will include utilization information.  This will be measured with Employer-specific Data</w:t>
            </w:r>
          </w:p>
        </w:tc>
        <w:tc>
          <w:tcPr>
            <w:tcW w:w="1194" w:type="pct"/>
            <w:shd w:val="clear" w:color="auto" w:fill="auto"/>
          </w:tcPr>
          <w:p w14:paraId="105C07A1" w14:textId="77777777" w:rsidR="004271FA" w:rsidRPr="000B1A57" w:rsidRDefault="004271FA" w:rsidP="004271FA">
            <w:pPr>
              <w:spacing w:after="0" w:line="240" w:lineRule="auto"/>
              <w:rPr>
                <w:rFonts w:eastAsia="Times New Roman" w:cstheme="minorHAnsi"/>
                <w:bCs/>
                <w:sz w:val="20"/>
                <w:szCs w:val="20"/>
              </w:rPr>
            </w:pPr>
            <w:r w:rsidRPr="000B1A57">
              <w:rPr>
                <w:rFonts w:eastAsia="Times New Roman" w:cstheme="minorHAnsi"/>
                <w:bCs/>
                <w:sz w:val="20"/>
                <w:szCs w:val="20"/>
              </w:rPr>
              <w:t>By day 45: None</w:t>
            </w:r>
          </w:p>
          <w:p w14:paraId="359D5560" w14:textId="77777777" w:rsidR="004271FA" w:rsidRPr="000B1A57" w:rsidRDefault="004271FA" w:rsidP="004271FA">
            <w:pPr>
              <w:spacing w:after="0" w:line="240" w:lineRule="auto"/>
              <w:rPr>
                <w:rFonts w:eastAsia="Times New Roman" w:cstheme="minorHAnsi"/>
                <w:bCs/>
                <w:sz w:val="20"/>
                <w:szCs w:val="20"/>
              </w:rPr>
            </w:pPr>
            <w:r w:rsidRPr="000B1A57">
              <w:rPr>
                <w:rFonts w:eastAsia="Times New Roman" w:cstheme="minorHAnsi"/>
                <w:bCs/>
                <w:sz w:val="20"/>
                <w:szCs w:val="20"/>
              </w:rPr>
              <w:t>Over 45 days –once: 25%</w:t>
            </w:r>
          </w:p>
          <w:p w14:paraId="6FE10BF4" w14:textId="77777777" w:rsidR="004271FA" w:rsidRPr="000B1A57" w:rsidRDefault="004271FA" w:rsidP="004271FA">
            <w:pPr>
              <w:spacing w:after="0" w:line="240" w:lineRule="auto"/>
              <w:rPr>
                <w:rFonts w:eastAsia="Times New Roman" w:cstheme="minorHAnsi"/>
                <w:bCs/>
                <w:sz w:val="20"/>
                <w:szCs w:val="20"/>
              </w:rPr>
            </w:pPr>
            <w:r w:rsidRPr="000B1A57">
              <w:rPr>
                <w:rFonts w:eastAsia="Times New Roman" w:cstheme="minorHAnsi"/>
                <w:bCs/>
                <w:sz w:val="20"/>
                <w:szCs w:val="20"/>
              </w:rPr>
              <w:t>Over 45 days –twice: 50%</w:t>
            </w:r>
          </w:p>
          <w:p w14:paraId="279485CE" w14:textId="77777777" w:rsidR="004271FA" w:rsidRPr="000B1A57" w:rsidRDefault="004271FA" w:rsidP="004271FA">
            <w:pPr>
              <w:spacing w:after="0" w:line="240" w:lineRule="auto"/>
              <w:rPr>
                <w:rFonts w:eastAsia="Times New Roman" w:cstheme="minorHAnsi"/>
                <w:bCs/>
                <w:sz w:val="20"/>
                <w:szCs w:val="20"/>
              </w:rPr>
            </w:pPr>
            <w:r w:rsidRPr="000B1A57">
              <w:rPr>
                <w:rFonts w:eastAsia="Times New Roman" w:cstheme="minorHAnsi"/>
                <w:bCs/>
                <w:sz w:val="20"/>
                <w:szCs w:val="20"/>
              </w:rPr>
              <w:t>Over 45 days -3 times: 75%</w:t>
            </w:r>
          </w:p>
          <w:p w14:paraId="07DDF48D" w14:textId="77777777" w:rsidR="004271FA" w:rsidRPr="000B1A57" w:rsidRDefault="004271FA" w:rsidP="004271FA">
            <w:pPr>
              <w:spacing w:after="0" w:line="240" w:lineRule="auto"/>
              <w:rPr>
                <w:rFonts w:eastAsia="Times New Roman" w:cstheme="minorHAnsi"/>
                <w:color w:val="000000"/>
                <w:sz w:val="20"/>
                <w:szCs w:val="20"/>
              </w:rPr>
            </w:pPr>
            <w:r w:rsidRPr="000B1A57">
              <w:rPr>
                <w:rFonts w:eastAsia="Times New Roman" w:cstheme="minorHAnsi"/>
                <w:bCs/>
                <w:sz w:val="20"/>
                <w:szCs w:val="20"/>
              </w:rPr>
              <w:t>Over 45 days -4 times:  100%</w:t>
            </w:r>
          </w:p>
        </w:tc>
        <w:tc>
          <w:tcPr>
            <w:tcW w:w="637" w:type="pct"/>
            <w:shd w:val="clear" w:color="auto" w:fill="auto"/>
          </w:tcPr>
          <w:p w14:paraId="68FB67FD" w14:textId="0A688E75" w:rsidR="004271FA" w:rsidRPr="000B1A57" w:rsidRDefault="004271FA" w:rsidP="004271FA">
            <w:pPr>
              <w:spacing w:after="0" w:line="240" w:lineRule="auto"/>
              <w:rPr>
                <w:rFonts w:eastAsia="Times New Roman" w:cstheme="minorHAnsi"/>
                <w:color w:val="000000"/>
                <w:sz w:val="20"/>
                <w:szCs w:val="20"/>
              </w:rPr>
            </w:pPr>
            <w:r w:rsidRPr="000B1A57">
              <w:rPr>
                <w:rFonts w:eastAsia="Times New Roman" w:cstheme="minorHAnsi"/>
                <w:color w:val="000000"/>
                <w:sz w:val="20"/>
                <w:szCs w:val="20"/>
              </w:rPr>
              <w:t>Measured and reported annually</w:t>
            </w:r>
          </w:p>
        </w:tc>
      </w:tr>
      <w:tr w:rsidR="00922231" w:rsidRPr="000B1A57" w14:paraId="2836E78C" w14:textId="77777777" w:rsidTr="001C64D9">
        <w:trPr>
          <w:trHeight w:val="1700"/>
        </w:trPr>
        <w:tc>
          <w:tcPr>
            <w:tcW w:w="710" w:type="pct"/>
            <w:shd w:val="clear" w:color="auto" w:fill="auto"/>
          </w:tcPr>
          <w:p w14:paraId="1A39E19C" w14:textId="66DAA18E" w:rsidR="00922231" w:rsidRPr="000B1A57" w:rsidRDefault="00922231" w:rsidP="004271FA">
            <w:pPr>
              <w:spacing w:after="0" w:line="240" w:lineRule="auto"/>
              <w:rPr>
                <w:rFonts w:eastAsia="Times New Roman" w:cstheme="minorHAnsi"/>
                <w:color w:val="000000"/>
                <w:sz w:val="20"/>
                <w:szCs w:val="20"/>
              </w:rPr>
            </w:pPr>
            <w:r>
              <w:rPr>
                <w:rFonts w:eastAsia="Times New Roman" w:cstheme="minorHAnsi"/>
                <w:color w:val="000000"/>
                <w:sz w:val="20"/>
                <w:szCs w:val="20"/>
              </w:rPr>
              <w:t>EAP Vendor Integration</w:t>
            </w:r>
          </w:p>
        </w:tc>
        <w:tc>
          <w:tcPr>
            <w:tcW w:w="716" w:type="pct"/>
            <w:shd w:val="clear" w:color="auto" w:fill="auto"/>
          </w:tcPr>
          <w:p w14:paraId="3990DCB0" w14:textId="6F2B29BF" w:rsidR="00922231" w:rsidRDefault="00922231" w:rsidP="004271FA">
            <w:pPr>
              <w:spacing w:after="0" w:line="240" w:lineRule="auto"/>
              <w:rPr>
                <w:rFonts w:eastAsia="Times New Roman" w:cstheme="minorHAnsi"/>
                <w:color w:val="000000"/>
                <w:sz w:val="20"/>
                <w:szCs w:val="20"/>
              </w:rPr>
            </w:pPr>
            <w:r>
              <w:rPr>
                <w:rFonts w:eastAsia="Times New Roman" w:cstheme="minorHAnsi"/>
                <w:color w:val="000000"/>
                <w:sz w:val="20"/>
                <w:szCs w:val="20"/>
              </w:rPr>
              <w:t>2.0% annually</w:t>
            </w:r>
          </w:p>
        </w:tc>
        <w:tc>
          <w:tcPr>
            <w:tcW w:w="1742" w:type="pct"/>
            <w:shd w:val="clear" w:color="auto" w:fill="auto"/>
          </w:tcPr>
          <w:p w14:paraId="056F1C90" w14:textId="1145D35C" w:rsidR="00922231" w:rsidRPr="00922231" w:rsidRDefault="00922231" w:rsidP="004271FA">
            <w:pPr>
              <w:spacing w:afterLines="200" w:after="480" w:line="240" w:lineRule="auto"/>
              <w:rPr>
                <w:rFonts w:eastAsia="Times New Roman" w:cstheme="minorHAnsi"/>
                <w:bCs/>
                <w:sz w:val="20"/>
                <w:szCs w:val="20"/>
              </w:rPr>
            </w:pPr>
            <w:r w:rsidRPr="00922231">
              <w:rPr>
                <w:rFonts w:eastAsia="Times New Roman" w:cstheme="minorHAnsi"/>
                <w:bCs/>
                <w:sz w:val="20"/>
                <w:szCs w:val="20"/>
              </w:rPr>
              <w:t>We agree to the developmen</w:t>
            </w:r>
            <w:r w:rsidRPr="00922231">
              <w:rPr>
                <w:rFonts w:eastAsia="Times New Roman" w:cstheme="minorHAnsi"/>
                <w:bCs/>
                <w:color w:val="000000" w:themeColor="text1"/>
                <w:sz w:val="20"/>
                <w:szCs w:val="20"/>
              </w:rPr>
              <w:t>t</w:t>
            </w:r>
            <w:r>
              <w:rPr>
                <w:rFonts w:eastAsia="Times New Roman" w:cstheme="minorHAnsi"/>
                <w:bCs/>
                <w:color w:val="000000" w:themeColor="text1"/>
                <w:sz w:val="20"/>
                <w:szCs w:val="20"/>
              </w:rPr>
              <w:t xml:space="preserve"> of a performance guarantee</w:t>
            </w:r>
            <w:r w:rsidRPr="00922231">
              <w:rPr>
                <w:rFonts w:eastAsia="Times New Roman" w:cstheme="minorHAnsi"/>
                <w:bCs/>
                <w:color w:val="000000" w:themeColor="text1"/>
                <w:sz w:val="20"/>
                <w:szCs w:val="20"/>
              </w:rPr>
              <w:t xml:space="preserve"> </w:t>
            </w:r>
            <w:r w:rsidRPr="00922231">
              <w:rPr>
                <w:color w:val="000000" w:themeColor="text1"/>
                <w:sz w:val="20"/>
                <w:szCs w:val="20"/>
              </w:rPr>
              <w:t>related to integration and collaboration with State vendors based on mutually agreeable language.</w:t>
            </w:r>
          </w:p>
        </w:tc>
        <w:tc>
          <w:tcPr>
            <w:tcW w:w="1194" w:type="pct"/>
            <w:shd w:val="clear" w:color="auto" w:fill="auto"/>
          </w:tcPr>
          <w:p w14:paraId="12A784E0" w14:textId="588E8151" w:rsidR="00922231" w:rsidRPr="000B1A57" w:rsidRDefault="00922231" w:rsidP="004271FA">
            <w:pPr>
              <w:spacing w:after="0" w:line="240" w:lineRule="auto"/>
              <w:rPr>
                <w:rFonts w:eastAsia="Times New Roman" w:cstheme="minorHAnsi"/>
                <w:bCs/>
                <w:sz w:val="20"/>
                <w:szCs w:val="20"/>
              </w:rPr>
            </w:pPr>
            <w:r>
              <w:rPr>
                <w:rFonts w:eastAsia="Times New Roman" w:cstheme="minorHAnsi"/>
                <w:bCs/>
                <w:sz w:val="20"/>
                <w:szCs w:val="20"/>
              </w:rPr>
              <w:t>To be determined</w:t>
            </w:r>
          </w:p>
        </w:tc>
        <w:tc>
          <w:tcPr>
            <w:tcW w:w="637" w:type="pct"/>
            <w:shd w:val="clear" w:color="auto" w:fill="auto"/>
          </w:tcPr>
          <w:p w14:paraId="3FA14092" w14:textId="44589BF9" w:rsidR="00922231" w:rsidRPr="000B1A57" w:rsidRDefault="00922231" w:rsidP="004271FA">
            <w:pPr>
              <w:spacing w:after="0" w:line="240" w:lineRule="auto"/>
              <w:rPr>
                <w:rFonts w:eastAsia="Times New Roman" w:cstheme="minorHAnsi"/>
                <w:color w:val="000000"/>
                <w:sz w:val="20"/>
                <w:szCs w:val="20"/>
              </w:rPr>
            </w:pPr>
            <w:r>
              <w:rPr>
                <w:rFonts w:eastAsia="Times New Roman" w:cstheme="minorHAnsi"/>
                <w:color w:val="000000"/>
                <w:sz w:val="20"/>
                <w:szCs w:val="20"/>
              </w:rPr>
              <w:t>Measured and reported annually</w:t>
            </w:r>
          </w:p>
        </w:tc>
      </w:tr>
      <w:tr w:rsidR="00922231" w:rsidRPr="000B1A57" w14:paraId="5BA07CFD" w14:textId="77777777" w:rsidTr="001C64D9">
        <w:trPr>
          <w:trHeight w:val="1700"/>
        </w:trPr>
        <w:tc>
          <w:tcPr>
            <w:tcW w:w="710" w:type="pct"/>
            <w:shd w:val="clear" w:color="auto" w:fill="auto"/>
          </w:tcPr>
          <w:p w14:paraId="4E130D2B" w14:textId="37394A84" w:rsidR="00922231" w:rsidRDefault="00922231" w:rsidP="00922231">
            <w:pPr>
              <w:spacing w:after="0" w:line="240" w:lineRule="auto"/>
              <w:rPr>
                <w:rFonts w:eastAsia="Times New Roman" w:cstheme="minorHAnsi"/>
                <w:color w:val="000000"/>
                <w:sz w:val="20"/>
                <w:szCs w:val="20"/>
              </w:rPr>
            </w:pPr>
            <w:r>
              <w:rPr>
                <w:rFonts w:eastAsia="Times New Roman" w:cstheme="minorHAnsi"/>
                <w:color w:val="000000"/>
                <w:sz w:val="20"/>
                <w:szCs w:val="20"/>
              </w:rPr>
              <w:lastRenderedPageBreak/>
              <w:t>EAP Critical Incident Response Satisfaction</w:t>
            </w:r>
          </w:p>
        </w:tc>
        <w:tc>
          <w:tcPr>
            <w:tcW w:w="716" w:type="pct"/>
            <w:shd w:val="clear" w:color="auto" w:fill="auto"/>
          </w:tcPr>
          <w:p w14:paraId="4BECFEC4" w14:textId="1187FDAA" w:rsidR="00922231" w:rsidRDefault="00922231" w:rsidP="00922231">
            <w:pPr>
              <w:spacing w:after="0" w:line="240" w:lineRule="auto"/>
              <w:rPr>
                <w:rFonts w:eastAsia="Times New Roman" w:cstheme="minorHAnsi"/>
                <w:color w:val="000000"/>
                <w:sz w:val="20"/>
                <w:szCs w:val="20"/>
              </w:rPr>
            </w:pPr>
            <w:r>
              <w:rPr>
                <w:rFonts w:eastAsia="Times New Roman" w:cstheme="minorHAnsi"/>
                <w:color w:val="000000"/>
                <w:sz w:val="20"/>
                <w:szCs w:val="20"/>
              </w:rPr>
              <w:t>2.0% annually</w:t>
            </w:r>
          </w:p>
        </w:tc>
        <w:tc>
          <w:tcPr>
            <w:tcW w:w="1742" w:type="pct"/>
            <w:shd w:val="clear" w:color="auto" w:fill="auto"/>
          </w:tcPr>
          <w:p w14:paraId="5DF67E5E" w14:textId="756B6232" w:rsidR="00922231" w:rsidRPr="00790601" w:rsidRDefault="00922231" w:rsidP="00922231">
            <w:pPr>
              <w:spacing w:afterLines="200" w:after="480" w:line="240" w:lineRule="auto"/>
              <w:rPr>
                <w:rFonts w:eastAsia="Times New Roman" w:cstheme="minorHAnsi"/>
                <w:bCs/>
                <w:sz w:val="20"/>
                <w:szCs w:val="20"/>
              </w:rPr>
            </w:pPr>
            <w:r>
              <w:rPr>
                <w:rFonts w:eastAsia="Times New Roman" w:cstheme="minorHAnsi"/>
                <w:bCs/>
                <w:sz w:val="20"/>
                <w:szCs w:val="20"/>
              </w:rPr>
              <w:t>We agree to the development of a performance guarantee related to critical incident response satisfaction based on mutually agreeable language</w:t>
            </w:r>
            <w:r w:rsidR="005D1899">
              <w:rPr>
                <w:rFonts w:eastAsia="Times New Roman" w:cstheme="minorHAnsi"/>
                <w:bCs/>
                <w:sz w:val="20"/>
                <w:szCs w:val="20"/>
              </w:rPr>
              <w:t>.</w:t>
            </w:r>
          </w:p>
        </w:tc>
        <w:tc>
          <w:tcPr>
            <w:tcW w:w="1194" w:type="pct"/>
            <w:shd w:val="clear" w:color="auto" w:fill="auto"/>
          </w:tcPr>
          <w:p w14:paraId="545ABBD5" w14:textId="5ED98680" w:rsidR="00922231" w:rsidRPr="000B1A57" w:rsidRDefault="00922231" w:rsidP="00922231">
            <w:pPr>
              <w:spacing w:after="0" w:line="240" w:lineRule="auto"/>
              <w:rPr>
                <w:rFonts w:eastAsia="Times New Roman" w:cstheme="minorHAnsi"/>
                <w:bCs/>
                <w:sz w:val="20"/>
                <w:szCs w:val="20"/>
              </w:rPr>
            </w:pPr>
            <w:r>
              <w:rPr>
                <w:rFonts w:eastAsia="Times New Roman" w:cstheme="minorHAnsi"/>
                <w:bCs/>
                <w:sz w:val="20"/>
                <w:szCs w:val="20"/>
              </w:rPr>
              <w:t>To be determined</w:t>
            </w:r>
          </w:p>
        </w:tc>
        <w:tc>
          <w:tcPr>
            <w:tcW w:w="637" w:type="pct"/>
            <w:shd w:val="clear" w:color="auto" w:fill="auto"/>
          </w:tcPr>
          <w:p w14:paraId="37E4B27F" w14:textId="0BFAFFF0" w:rsidR="00922231" w:rsidRDefault="00922231" w:rsidP="00922231">
            <w:pPr>
              <w:spacing w:after="0" w:line="240" w:lineRule="auto"/>
              <w:rPr>
                <w:rFonts w:eastAsia="Times New Roman" w:cstheme="minorHAnsi"/>
                <w:color w:val="000000"/>
                <w:sz w:val="20"/>
                <w:szCs w:val="20"/>
              </w:rPr>
            </w:pPr>
            <w:r>
              <w:rPr>
                <w:rFonts w:eastAsia="Times New Roman" w:cstheme="minorHAnsi"/>
                <w:color w:val="000000"/>
                <w:sz w:val="20"/>
                <w:szCs w:val="20"/>
              </w:rPr>
              <w:t>Measured and reported annually</w:t>
            </w:r>
          </w:p>
        </w:tc>
      </w:tr>
    </w:tbl>
    <w:p w14:paraId="0B0BC07D" w14:textId="77777777" w:rsidR="00791DE9" w:rsidRDefault="00791DE9" w:rsidP="00791DE9"/>
    <w:p w14:paraId="71FE0118" w14:textId="2F9DBF08" w:rsidR="006B7474" w:rsidRPr="00791DE9" w:rsidRDefault="006B7474" w:rsidP="00791DE9"/>
    <w:sectPr w:rsidR="006B7474" w:rsidRPr="00791DE9">
      <w:footerReference w:type="even" r:id="rId11"/>
      <w:footerReference w:type="default" r:id="rId12"/>
      <w:headerReference w:type="first" r:id="rId13"/>
      <w:footerReference w:type="first" r:id="rId14"/>
      <w:pgSz w:w="12240" w:h="15840" w:code="1"/>
      <w:pgMar w:top="1440" w:right="1800" w:bottom="1800" w:left="1440" w:header="44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86D489" w14:textId="77777777" w:rsidR="00B319EE" w:rsidRDefault="00B319EE">
      <w:pPr>
        <w:spacing w:after="0" w:line="240" w:lineRule="auto"/>
      </w:pPr>
      <w:r>
        <w:separator/>
      </w:r>
    </w:p>
  </w:endnote>
  <w:endnote w:type="continuationSeparator" w:id="0">
    <w:p w14:paraId="362D61CB" w14:textId="77777777" w:rsidR="00B319EE" w:rsidRDefault="00B319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panose1 w:val="020B0704020202020204"/>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Headings CS)">
    <w:altName w:val="Times New Roman"/>
    <w:charset w:val="00"/>
    <w:family w:val="roman"/>
    <w:pitch w:val="variable"/>
    <w:sig w:usb0="E0002AEF" w:usb1="C0007841" w:usb2="00000009" w:usb3="00000000" w:csb0="000001FF" w:csb1="00000000"/>
  </w:font>
  <w:font w:name="Times New Roman (Body CS)">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4797448"/>
      <w:docPartObj>
        <w:docPartGallery w:val="Page Numbers (Bottom of Page)"/>
        <w:docPartUnique/>
      </w:docPartObj>
    </w:sdtPr>
    <w:sdtEndPr/>
    <w:sdtContent>
      <w:p w14:paraId="789740AD" w14:textId="3655F504" w:rsidR="005B0535" w:rsidRDefault="00F12068">
        <w:pPr>
          <w:pStyle w:val="PageNumbersEven"/>
          <w:ind w:left="0"/>
        </w:pPr>
        <w:r>
          <w:rPr>
            <w:noProof/>
          </w:rPr>
          <mc:AlternateContent>
            <mc:Choice Requires="wpg">
              <w:drawing>
                <wp:anchor distT="0" distB="0" distL="114300" distR="114300" simplePos="0" relativeHeight="251673600" behindDoc="1" locked="0" layoutInCell="1" allowOverlap="1" wp14:anchorId="73116A7C" wp14:editId="7E2F1346">
                  <wp:simplePos x="0" y="0"/>
                  <wp:positionH relativeFrom="page">
                    <wp:posOffset>-45720</wp:posOffset>
                  </wp:positionH>
                  <wp:positionV relativeFrom="page">
                    <wp:posOffset>9070975</wp:posOffset>
                  </wp:positionV>
                  <wp:extent cx="7955280" cy="987552"/>
                  <wp:effectExtent l="0" t="57150" r="45720" b="3175"/>
                  <wp:wrapNone/>
                  <wp:docPr id="4" name="Group 4"/>
                  <wp:cNvGraphicFramePr/>
                  <a:graphic xmlns:a="http://schemas.openxmlformats.org/drawingml/2006/main">
                    <a:graphicData uri="http://schemas.microsoft.com/office/word/2010/wordprocessingGroup">
                      <wpg:wgp>
                        <wpg:cNvGrpSpPr/>
                        <wpg:grpSpPr>
                          <a:xfrm>
                            <a:off x="0" y="0"/>
                            <a:ext cx="7955280" cy="987552"/>
                            <a:chOff x="0" y="0"/>
                            <a:chExt cx="7863840" cy="990600"/>
                          </a:xfrm>
                        </wpg:grpSpPr>
                        <wps:wsp>
                          <wps:cNvPr id="5" name="Rectangle 5"/>
                          <wps:cNvSpPr/>
                          <wps:spPr>
                            <a:xfrm>
                              <a:off x="18227" y="76200"/>
                              <a:ext cx="7772400" cy="914400"/>
                            </a:xfrm>
                            <a:prstGeom prst="rect">
                              <a:avLst/>
                            </a:prstGeom>
                            <a:solidFill>
                              <a:srgbClr val="0079C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Straight Connector 7"/>
                          <wps:cNvCnPr/>
                          <wps:spPr>
                            <a:xfrm>
                              <a:off x="0" y="0"/>
                              <a:ext cx="7863840" cy="0"/>
                            </a:xfrm>
                            <a:prstGeom prst="line">
                              <a:avLst/>
                            </a:prstGeom>
                            <a:ln w="104775">
                              <a:solidFill>
                                <a:srgbClr val="009CA6"/>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2F1CD0BB" id="Group 4" o:spid="_x0000_s1026" style="position:absolute;margin-left:-3.6pt;margin-top:714.25pt;width:626.4pt;height:77.75pt;z-index:-251642880;mso-position-horizontal-relative:page;mso-position-vertical-relative:page;mso-width-relative:margin;mso-height-relative:margin" coordsize="78638,99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">
                  <v:rect id="Rectangle 5" o:spid="_x0000_s1027" style="position:absolute;left:182;top:762;width:77724;height:9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" fillcolor="#0079c2" stroked="f" strokeweight="1pt"/>
                  <v:line id="Straight Connector 7" o:spid="_x0000_s1028" style="position:absolute;visibility:visible;mso-wrap-style:square" from="0,0" to="786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" strokecolor="#009ca6" strokeweight="8.25pt">
                    <v:stroke joinstyle="miter"/>
                  </v:line>
                  <w10:wrap anchorx="page" anchory="page"/>
                </v:group>
              </w:pict>
            </mc:Fallback>
          </mc:AlternateContent>
        </w:r>
        <w:r>
          <w:fldChar w:fldCharType="begin"/>
        </w:r>
        <w:r>
          <w:instrText xml:space="preserve"> PAGE   \* MERGEFORMAT </w:instrText>
        </w:r>
        <w:r>
          <w:fldChar w:fldCharType="separate"/>
        </w:r>
        <w:r w:rsidR="00DC5E91">
          <w:rPr>
            <w:noProof/>
          </w:rPr>
          <w:t>6</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84F43" w14:textId="44AF74F1" w:rsidR="005B0535" w:rsidRDefault="00F12068">
    <w:pPr>
      <w:pStyle w:val="PageNumbersOdd"/>
      <w:ind w:right="-360"/>
    </w:pPr>
    <w:r>
      <w:rPr>
        <w:noProof/>
      </w:rPr>
      <mc:AlternateContent>
        <mc:Choice Requires="wpg">
          <w:drawing>
            <wp:anchor distT="0" distB="0" distL="114300" distR="114300" simplePos="0" relativeHeight="251669504" behindDoc="1" locked="0" layoutInCell="1" allowOverlap="1" wp14:anchorId="6F036AEC" wp14:editId="7129E1BB">
              <wp:simplePos x="0" y="0"/>
              <wp:positionH relativeFrom="page">
                <wp:posOffset>-45720</wp:posOffset>
              </wp:positionH>
              <wp:positionV relativeFrom="page">
                <wp:posOffset>9070975</wp:posOffset>
              </wp:positionV>
              <wp:extent cx="7955280" cy="987552"/>
              <wp:effectExtent l="0" t="57150" r="45720" b="3175"/>
              <wp:wrapNone/>
              <wp:docPr id="13" name="Group 13"/>
              <wp:cNvGraphicFramePr/>
              <a:graphic xmlns:a="http://schemas.openxmlformats.org/drawingml/2006/main">
                <a:graphicData uri="http://schemas.microsoft.com/office/word/2010/wordprocessingGroup">
                  <wpg:wgp>
                    <wpg:cNvGrpSpPr/>
                    <wpg:grpSpPr>
                      <a:xfrm>
                        <a:off x="0" y="0"/>
                        <a:ext cx="7955280" cy="987552"/>
                        <a:chOff x="0" y="0"/>
                        <a:chExt cx="7863840" cy="990600"/>
                      </a:xfrm>
                    </wpg:grpSpPr>
                    <wps:wsp>
                      <wps:cNvPr id="6" name="Rectangle 6"/>
                      <wps:cNvSpPr/>
                      <wps:spPr>
                        <a:xfrm>
                          <a:off x="18227" y="76200"/>
                          <a:ext cx="7772400" cy="914400"/>
                        </a:xfrm>
                        <a:prstGeom prst="rect">
                          <a:avLst/>
                        </a:prstGeom>
                        <a:solidFill>
                          <a:srgbClr val="0079C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Straight Connector 8"/>
                      <wps:cNvCnPr/>
                      <wps:spPr>
                        <a:xfrm>
                          <a:off x="0" y="0"/>
                          <a:ext cx="7863840" cy="0"/>
                        </a:xfrm>
                        <a:prstGeom prst="line">
                          <a:avLst/>
                        </a:prstGeom>
                        <a:ln w="104775">
                          <a:solidFill>
                            <a:srgbClr val="009CA6"/>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1E8DBF45" id="Group 13" o:spid="_x0000_s1026" style="position:absolute;margin-left:-3.6pt;margin-top:714.25pt;width:626.4pt;height:77.75pt;z-index:-251646976;mso-position-horizontal-relative:page;mso-position-vertical-relative:page;mso-width-relative:margin;mso-height-relative:margin" coordsize="78638,99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">
              <v:rect id="Rectangle 6" o:spid="_x0000_s1027" style="position:absolute;left:182;top:762;width:77724;height:9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" fillcolor="#0079c2" stroked="f" strokeweight="1pt"/>
              <v:line id="Straight Connector 8" o:spid="_x0000_s1028" style="position:absolute;visibility:visible;mso-wrap-style:square" from="0,0" to="786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" strokecolor="#009ca6" strokeweight="8.25pt">
                <v:stroke joinstyle="miter"/>
              </v:line>
              <w10:wrap anchorx="page" anchory="page"/>
            </v:group>
          </w:pict>
        </mc:Fallback>
      </mc:AlternateContent>
    </w:r>
    <w:sdt>
      <w:sdtPr>
        <w:id w:val="-660696166"/>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DC5E91">
          <w:rPr>
            <w:noProof/>
          </w:rPr>
          <w:t>5</w:t>
        </w:r>
        <w:r>
          <w:rPr>
            <w:noProof/>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81660939"/>
      <w:docPartObj>
        <w:docPartGallery w:val="Page Numbers (Bottom of Page)"/>
        <w:docPartUnique/>
      </w:docPartObj>
    </w:sdtPr>
    <w:sdtEndPr>
      <w:rPr>
        <w:noProof/>
      </w:rPr>
    </w:sdtEndPr>
    <w:sdtContent>
      <w:p w14:paraId="3AD5AF2B" w14:textId="41B2CB99" w:rsidR="005B0535" w:rsidRDefault="00F12068">
        <w:pPr>
          <w:pStyle w:val="PageNumbersOdd"/>
          <w:ind w:right="-360"/>
        </w:pPr>
        <w:r>
          <w:rPr>
            <w:noProof/>
          </w:rPr>
          <mc:AlternateContent>
            <mc:Choice Requires="wpg">
              <w:drawing>
                <wp:anchor distT="0" distB="0" distL="114300" distR="114300" simplePos="0" relativeHeight="251675648" behindDoc="1" locked="0" layoutInCell="1" allowOverlap="1" wp14:anchorId="4A0EACAD" wp14:editId="3003557F">
                  <wp:simplePos x="0" y="0"/>
                  <wp:positionH relativeFrom="page">
                    <wp:posOffset>-45720</wp:posOffset>
                  </wp:positionH>
                  <wp:positionV relativeFrom="page">
                    <wp:posOffset>9070975</wp:posOffset>
                  </wp:positionV>
                  <wp:extent cx="7955280" cy="987552"/>
                  <wp:effectExtent l="0" t="57150" r="45720" b="3175"/>
                  <wp:wrapNone/>
                  <wp:docPr id="9" name="Group 9"/>
                  <wp:cNvGraphicFramePr/>
                  <a:graphic xmlns:a="http://schemas.openxmlformats.org/drawingml/2006/main">
                    <a:graphicData uri="http://schemas.microsoft.com/office/word/2010/wordprocessingGroup">
                      <wpg:wgp>
                        <wpg:cNvGrpSpPr/>
                        <wpg:grpSpPr>
                          <a:xfrm>
                            <a:off x="0" y="0"/>
                            <a:ext cx="7955280" cy="987552"/>
                            <a:chOff x="0" y="0"/>
                            <a:chExt cx="7863840" cy="990600"/>
                          </a:xfrm>
                        </wpg:grpSpPr>
                        <wps:wsp>
                          <wps:cNvPr id="10" name="Rectangle 10"/>
                          <wps:cNvSpPr/>
                          <wps:spPr>
                            <a:xfrm>
                              <a:off x="18227" y="76200"/>
                              <a:ext cx="7772400" cy="914400"/>
                            </a:xfrm>
                            <a:prstGeom prst="rect">
                              <a:avLst/>
                            </a:prstGeom>
                            <a:solidFill>
                              <a:srgbClr val="0079C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Straight Connector 18"/>
                          <wps:cNvCnPr/>
                          <wps:spPr>
                            <a:xfrm>
                              <a:off x="0" y="0"/>
                              <a:ext cx="7863840" cy="0"/>
                            </a:xfrm>
                            <a:prstGeom prst="line">
                              <a:avLst/>
                            </a:prstGeom>
                            <a:ln w="104775">
                              <a:solidFill>
                                <a:srgbClr val="009CA6"/>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63388895" id="Group 9" o:spid="_x0000_s1026" style="position:absolute;margin-left:-3.6pt;margin-top:714.25pt;width:626.4pt;height:77.75pt;z-index:-251640832;mso-position-horizontal-relative:page;mso-position-vertical-relative:page;mso-width-relative:margin;mso-height-relative:margin" coordsize="78638,99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">
                  <v:rect id="Rectangle 10" o:spid="_x0000_s1027" style="position:absolute;left:182;top:762;width:77724;height:9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" fillcolor="#0079c2" stroked="f" strokeweight="1pt"/>
                  <v:line id="Straight Connector 18" o:spid="_x0000_s1028" style="position:absolute;visibility:visible;mso-wrap-style:square" from="0,0" to="786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" strokecolor="#009ca6" strokeweight="8.25pt">
                    <v:stroke joinstyle="miter"/>
                  </v:line>
                  <w10:wrap anchorx="page" anchory="page"/>
                </v:group>
              </w:pict>
            </mc:Fallback>
          </mc:AlternateContent>
        </w:r>
        <w:r>
          <w:fldChar w:fldCharType="begin"/>
        </w:r>
        <w:r>
          <w:instrText xml:space="preserve"> PAGE   \* MERGEFORMAT </w:instrText>
        </w:r>
        <w:r>
          <w:fldChar w:fldCharType="separate"/>
        </w:r>
        <w:r w:rsidR="00DC5E91">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DC9C4D" w14:textId="77777777" w:rsidR="00B319EE" w:rsidRDefault="00B319EE">
      <w:pPr>
        <w:spacing w:after="0" w:line="240" w:lineRule="auto"/>
      </w:pPr>
      <w:r>
        <w:separator/>
      </w:r>
    </w:p>
  </w:footnote>
  <w:footnote w:type="continuationSeparator" w:id="0">
    <w:p w14:paraId="526EF302" w14:textId="77777777" w:rsidR="00B319EE" w:rsidRDefault="00B319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CA2CDC" w14:textId="798C4099" w:rsidR="005B0535" w:rsidRPr="00F12068" w:rsidRDefault="00F12068">
    <w:pPr>
      <w:pStyle w:val="SectionTitle"/>
      <w:spacing w:before="960" w:after="480"/>
      <w:rPr>
        <w:szCs w:val="90"/>
      </w:rPr>
    </w:pPr>
    <w:r w:rsidRPr="00F12068">
      <w:rPr>
        <w:noProof/>
        <w:szCs w:val="90"/>
      </w:rPr>
      <mc:AlternateContent>
        <mc:Choice Requires="wps">
          <w:drawing>
            <wp:anchor distT="0" distB="0" distL="114300" distR="114300" simplePos="0" relativeHeight="251663360" behindDoc="1" locked="0" layoutInCell="1" allowOverlap="1" wp14:anchorId="5332E9FD" wp14:editId="49F29961">
              <wp:simplePos x="0" y="0"/>
              <wp:positionH relativeFrom="margin">
                <wp:posOffset>-939165</wp:posOffset>
              </wp:positionH>
              <wp:positionV relativeFrom="paragraph">
                <wp:posOffset>-314960</wp:posOffset>
              </wp:positionV>
              <wp:extent cx="7863840" cy="3578571"/>
              <wp:effectExtent l="0" t="0" r="22860" b="22225"/>
              <wp:wrapNone/>
              <wp:docPr id="1" name="Rectangle 1"/>
              <wp:cNvGraphicFramePr/>
              <a:graphic xmlns:a="http://schemas.openxmlformats.org/drawingml/2006/main">
                <a:graphicData uri="http://schemas.microsoft.com/office/word/2010/wordprocessingShape">
                  <wps:wsp>
                    <wps:cNvSpPr/>
                    <wps:spPr>
                      <a:xfrm>
                        <a:off x="0" y="0"/>
                        <a:ext cx="7863840" cy="3578571"/>
                      </a:xfrm>
                      <a:prstGeom prst="rect">
                        <a:avLst/>
                      </a:prstGeom>
                      <a:gradFill>
                        <a:gsLst>
                          <a:gs pos="0">
                            <a:srgbClr val="0079C2"/>
                          </a:gs>
                          <a:gs pos="99000">
                            <a:srgbClr val="0098A7"/>
                          </a:gs>
                        </a:gsLst>
                        <a:lin ang="0" scaled="1"/>
                      </a:gra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5A322C" id="Rectangle 1" o:spid="_x0000_s1026" style="position:absolute;margin-left:-73.95pt;margin-top:-24.8pt;width:619.2pt;height:281.8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" fillcolor="#0079c2" strokecolor="#1f3763 [1604]" strokeweight="1pt">
              <v:fill color2="#0098a7" angle="90" colors="0 #0079c2;64881f #0098a7" focus="100%" type="gradient"/>
              <w10:wrap anchorx="margin"/>
            </v:rect>
          </w:pict>
        </mc:Fallback>
      </mc:AlternateContent>
    </w:r>
    <w:r w:rsidRPr="00F12068">
      <w:rPr>
        <w:noProof/>
        <w:szCs w:val="90"/>
      </w:rPr>
      <mc:AlternateContent>
        <mc:Choice Requires="wps">
          <w:drawing>
            <wp:anchor distT="0" distB="0" distL="114300" distR="114300" simplePos="0" relativeHeight="251671552" behindDoc="0" locked="0" layoutInCell="1" allowOverlap="1" wp14:anchorId="487E5D69" wp14:editId="32D254DF">
              <wp:simplePos x="0" y="0"/>
              <wp:positionH relativeFrom="column">
                <wp:posOffset>-1718945</wp:posOffset>
              </wp:positionH>
              <wp:positionV relativeFrom="paragraph">
                <wp:posOffset>2038985</wp:posOffset>
              </wp:positionV>
              <wp:extent cx="6793992" cy="36576"/>
              <wp:effectExtent l="19050" t="57150" r="45085" b="59055"/>
              <wp:wrapNone/>
              <wp:docPr id="2" name="Straight Connector 2"/>
              <wp:cNvGraphicFramePr/>
              <a:graphic xmlns:a="http://schemas.openxmlformats.org/drawingml/2006/main">
                <a:graphicData uri="http://schemas.microsoft.com/office/word/2010/wordprocessingShape">
                  <wps:wsp>
                    <wps:cNvCnPr/>
                    <wps:spPr>
                      <a:xfrm>
                        <a:off x="0" y="0"/>
                        <a:ext cx="6793992" cy="36576"/>
                      </a:xfrm>
                      <a:prstGeom prst="line">
                        <a:avLst/>
                      </a:prstGeom>
                      <a:ln w="114300">
                        <a:solidFill>
                          <a:srgbClr val="0098A7">
                            <a:alpha val="84000"/>
                          </a:srgb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AB00547" id="Straight Connector 2"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35pt,160.55pt" to="399.6pt,16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" strokecolor="#0098a7" strokeweight="9pt">
              <v:stroke opacity="54998f" joinstyle="miter"/>
            </v:line>
          </w:pict>
        </mc:Fallback>
      </mc:AlternateContent>
    </w:r>
    <w:r w:rsidR="00A638F5">
      <w:rPr>
        <w:szCs w:val="90"/>
      </w:rPr>
      <w:t>Anthem Employee Assistance Program</w:t>
    </w:r>
  </w:p>
  <w:p w14:paraId="0627B02B" w14:textId="6F847657" w:rsidR="005B0535" w:rsidRDefault="00791DE9">
    <w:pPr>
      <w:pStyle w:val="SectionTitle"/>
      <w:spacing w:before="960" w:after="960"/>
    </w:pPr>
    <w:r w:rsidRPr="00F12068">
      <w:rPr>
        <w:noProof/>
        <w:sz w:val="68"/>
        <w:szCs w:val="68"/>
      </w:rPr>
      <mc:AlternateContent>
        <mc:Choice Requires="wps">
          <w:drawing>
            <wp:anchor distT="45720" distB="45720" distL="114300" distR="114300" simplePos="0" relativeHeight="251679744" behindDoc="0" locked="0" layoutInCell="1" allowOverlap="1" wp14:anchorId="6EC5C8D4" wp14:editId="787704C2">
              <wp:simplePos x="0" y="0"/>
              <wp:positionH relativeFrom="column">
                <wp:posOffset>-127000</wp:posOffset>
              </wp:positionH>
              <wp:positionV relativeFrom="paragraph">
                <wp:posOffset>237490</wp:posOffset>
              </wp:positionV>
              <wp:extent cx="4273550" cy="140462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73550" cy="1404620"/>
                      </a:xfrm>
                      <a:prstGeom prst="rect">
                        <a:avLst/>
                      </a:prstGeom>
                      <a:noFill/>
                      <a:ln w="9525">
                        <a:noFill/>
                        <a:miter lim="800000"/>
                        <a:headEnd/>
                        <a:tailEnd/>
                      </a:ln>
                    </wps:spPr>
                    <wps:txbx>
                      <w:txbxContent>
                        <w:p w14:paraId="232702CA" w14:textId="77777777" w:rsidR="00791DE9" w:rsidRPr="00791DE9" w:rsidRDefault="00791DE9" w:rsidP="00A53330">
                          <w:pPr>
                            <w:pStyle w:val="TableHeaderWhite"/>
                            <w:rPr>
                              <w:b w:val="0"/>
                              <w:i/>
                              <w:sz w:val="32"/>
                              <w:szCs w:val="32"/>
                            </w:rPr>
                          </w:pPr>
                          <w:r w:rsidRPr="00791DE9">
                            <w:rPr>
                              <w:b w:val="0"/>
                              <w:i/>
                              <w:sz w:val="32"/>
                              <w:szCs w:val="32"/>
                            </w:rPr>
                            <w:t>Performance Guarantees for</w:t>
                          </w:r>
                        </w:p>
                        <w:p w14:paraId="40F9AB9E" w14:textId="26CC766F" w:rsidR="00A53330" w:rsidRPr="00791DE9" w:rsidRDefault="001F0525" w:rsidP="00A53330">
                          <w:pPr>
                            <w:pStyle w:val="TableHeaderWhite"/>
                            <w:rPr>
                              <w:sz w:val="44"/>
                              <w:szCs w:val="44"/>
                            </w:rPr>
                          </w:pPr>
                          <w:r>
                            <w:rPr>
                              <w:sz w:val="44"/>
                              <w:szCs w:val="44"/>
                            </w:rPr>
                            <w:t>State of Indiana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EC5C8D4" id="_x0000_t202" coordsize="21600,21600" o:spt="202" path="m,l,21600r21600,l21600,xe">
              <v:stroke joinstyle="miter"/>
              <v:path gradientshapeok="t" o:connecttype="rect"/>
            </v:shapetype>
            <v:shape id="Text Box 2" o:spid="_x0000_s1026" type="#_x0000_t202" style="position:absolute;margin-left:-10pt;margin-top:18.7pt;width:336.5pt;height:110.6pt;z-index:25167974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" filled="f" stroked="f">
              <v:textbox style="mso-fit-shape-to-text:t">
                <w:txbxContent>
                  <w:p w14:paraId="232702CA" w14:textId="77777777" w:rsidR="00791DE9" w:rsidRPr="00791DE9" w:rsidRDefault="00791DE9" w:rsidP="00A53330">
                    <w:pPr>
                      <w:pStyle w:val="TableHeaderWhite"/>
                      <w:rPr>
                        <w:b w:val="0"/>
                        <w:i/>
                        <w:sz w:val="32"/>
                        <w:szCs w:val="32"/>
                      </w:rPr>
                    </w:pPr>
                    <w:r w:rsidRPr="00791DE9">
                      <w:rPr>
                        <w:b w:val="0"/>
                        <w:i/>
                        <w:sz w:val="32"/>
                        <w:szCs w:val="32"/>
                      </w:rPr>
                      <w:t>Performance Guarantees for</w:t>
                    </w:r>
                  </w:p>
                  <w:p w14:paraId="40F9AB9E" w14:textId="26CC766F" w:rsidR="00A53330" w:rsidRPr="00791DE9" w:rsidRDefault="001F0525" w:rsidP="00A53330">
                    <w:pPr>
                      <w:pStyle w:val="TableHeaderWhite"/>
                      <w:rPr>
                        <w:sz w:val="44"/>
                        <w:szCs w:val="44"/>
                      </w:rPr>
                    </w:pPr>
                    <w:r>
                      <w:rPr>
                        <w:sz w:val="44"/>
                        <w:szCs w:val="44"/>
                      </w:rPr>
                      <w:t>State of Indiana</w:t>
                    </w:r>
                  </w:p>
                </w:txbxContent>
              </v:textbox>
              <w10:wrap type="squar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D56CEB"/>
    <w:multiLevelType w:val="multilevel"/>
    <w:tmpl w:val="595EFE16"/>
    <w:lvl w:ilvl="0">
      <w:start w:val="1"/>
      <w:numFmt w:val="bullet"/>
      <w:pStyle w:val="AnswerBullet3"/>
      <w:lvlText w:val=""/>
      <w:lvlJc w:val="left"/>
      <w:pPr>
        <w:tabs>
          <w:tab w:val="num" w:pos="1440"/>
        </w:tabs>
        <w:ind w:left="1440" w:hanging="360"/>
      </w:pPr>
      <w:rPr>
        <w:rFonts w:ascii="Wingdings" w:hAnsi="Wingdings" w:hint="default"/>
        <w:b w:val="0"/>
        <w:i w:val="0"/>
        <w:color w:val="009CA6"/>
        <w:sz w:val="14"/>
      </w:rPr>
    </w:lvl>
    <w:lvl w:ilvl="1">
      <w:start w:val="1"/>
      <w:numFmt w:val="bullet"/>
      <w:lvlText w:val=""/>
      <w:lvlJc w:val="left"/>
      <w:pPr>
        <w:tabs>
          <w:tab w:val="num" w:pos="1800"/>
        </w:tabs>
        <w:ind w:left="1800" w:hanging="360"/>
      </w:pPr>
      <w:rPr>
        <w:rFonts w:ascii="Symbol" w:hAnsi="Symbol" w:hint="default"/>
        <w:color w:val="009CA6"/>
      </w:rPr>
    </w:lvl>
    <w:lvl w:ilvl="2">
      <w:start w:val="1"/>
      <w:numFmt w:val="bullet"/>
      <w:lvlText w:val="»"/>
      <w:lvlJc w:val="left"/>
      <w:pPr>
        <w:ind w:left="2160" w:hanging="360"/>
      </w:pPr>
      <w:rPr>
        <w:rFonts w:ascii="Arial Bold" w:hAnsi="Arial Bold" w:hint="default"/>
        <w:b w:val="0"/>
        <w:i w:val="0"/>
        <w:color w:val="009CA6"/>
        <w:sz w:val="20"/>
      </w:rPr>
    </w:lvl>
    <w:lvl w:ilvl="3">
      <w:start w:val="1"/>
      <w:numFmt w:val="bullet"/>
      <w:lvlText w:val=""/>
      <w:lvlJc w:val="left"/>
      <w:pPr>
        <w:ind w:left="3960" w:hanging="360"/>
      </w:pPr>
      <w:rPr>
        <w:rFonts w:ascii="Symbol" w:hAnsi="Symbol" w:hint="default"/>
      </w:rPr>
    </w:lvl>
    <w:lvl w:ilvl="4">
      <w:start w:val="1"/>
      <w:numFmt w:val="bullet"/>
      <w:lvlText w:val="o"/>
      <w:lvlJc w:val="left"/>
      <w:pPr>
        <w:ind w:left="4680" w:hanging="360"/>
      </w:pPr>
      <w:rPr>
        <w:rFonts w:ascii="Courier New" w:hAnsi="Courier New" w:cs="Courier New" w:hint="default"/>
      </w:rPr>
    </w:lvl>
    <w:lvl w:ilvl="5">
      <w:start w:val="1"/>
      <w:numFmt w:val="bullet"/>
      <w:lvlText w:val=""/>
      <w:lvlJc w:val="left"/>
      <w:pPr>
        <w:ind w:left="5400" w:hanging="360"/>
      </w:pPr>
      <w:rPr>
        <w:rFonts w:ascii="Wingdings" w:hAnsi="Wingdings" w:hint="default"/>
      </w:rPr>
    </w:lvl>
    <w:lvl w:ilvl="6">
      <w:start w:val="1"/>
      <w:numFmt w:val="bullet"/>
      <w:lvlText w:val=""/>
      <w:lvlJc w:val="left"/>
      <w:pPr>
        <w:ind w:left="6120" w:hanging="360"/>
      </w:pPr>
      <w:rPr>
        <w:rFonts w:ascii="Symbol" w:hAnsi="Symbol" w:hint="default"/>
      </w:rPr>
    </w:lvl>
    <w:lvl w:ilvl="7">
      <w:start w:val="1"/>
      <w:numFmt w:val="bullet"/>
      <w:lvlText w:val="o"/>
      <w:lvlJc w:val="left"/>
      <w:pPr>
        <w:ind w:left="6840" w:hanging="360"/>
      </w:pPr>
      <w:rPr>
        <w:rFonts w:ascii="Courier New" w:hAnsi="Courier New" w:cs="Courier New" w:hint="default"/>
      </w:rPr>
    </w:lvl>
    <w:lvl w:ilvl="8">
      <w:start w:val="1"/>
      <w:numFmt w:val="bullet"/>
      <w:lvlText w:val=""/>
      <w:lvlJc w:val="left"/>
      <w:pPr>
        <w:ind w:left="7560" w:hanging="360"/>
      </w:pPr>
      <w:rPr>
        <w:rFonts w:ascii="Wingdings" w:hAnsi="Wingdings" w:hint="default"/>
      </w:rPr>
    </w:lvl>
  </w:abstractNum>
  <w:abstractNum w:abstractNumId="1" w15:restartNumberingAfterBreak="0">
    <w:nsid w:val="09CF7759"/>
    <w:multiLevelType w:val="hybridMultilevel"/>
    <w:tmpl w:val="B5B69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E5500E"/>
    <w:multiLevelType w:val="multilevel"/>
    <w:tmpl w:val="2AEAA27E"/>
    <w:lvl w:ilvl="0">
      <w:start w:val="1"/>
      <w:numFmt w:val="bullet"/>
      <w:pStyle w:val="TableBodyBullet"/>
      <w:lvlText w:val=""/>
      <w:lvlJc w:val="left"/>
      <w:pPr>
        <w:tabs>
          <w:tab w:val="num" w:pos="360"/>
        </w:tabs>
        <w:ind w:left="360" w:hanging="360"/>
      </w:pPr>
      <w:rPr>
        <w:rFonts w:ascii="Wingdings" w:hAnsi="Wingdings" w:hint="default"/>
        <w:b w:val="0"/>
        <w:i w:val="0"/>
        <w:color w:val="009CA6"/>
        <w:spacing w:val="-4"/>
        <w:sz w:val="13"/>
      </w:rPr>
    </w:lvl>
    <w:lvl w:ilvl="1">
      <w:start w:val="1"/>
      <w:numFmt w:val="bullet"/>
      <w:lvlText w:val=""/>
      <w:lvlJc w:val="left"/>
      <w:pPr>
        <w:tabs>
          <w:tab w:val="num" w:pos="720"/>
        </w:tabs>
        <w:ind w:left="720" w:hanging="360"/>
      </w:pPr>
      <w:rPr>
        <w:rFonts w:ascii="Symbol" w:hAnsi="Symbol" w:hint="default"/>
        <w:b/>
        <w:i w:val="0"/>
        <w:color w:val="009CA6"/>
        <w:sz w:val="20"/>
      </w:rPr>
    </w:lvl>
    <w:lvl w:ilvl="2">
      <w:start w:val="1"/>
      <w:numFmt w:val="bullet"/>
      <w:lvlText w:val="»"/>
      <w:lvlJc w:val="left"/>
      <w:pPr>
        <w:ind w:left="1080" w:hanging="360"/>
      </w:pPr>
      <w:rPr>
        <w:rFonts w:ascii="Arial Bold" w:hAnsi="Arial Bold" w:hint="default"/>
        <w:b w:val="0"/>
        <w:i w:val="0"/>
        <w:color w:val="009CA6"/>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E906375"/>
    <w:multiLevelType w:val="hybridMultilevel"/>
    <w:tmpl w:val="A2F64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733BCD"/>
    <w:multiLevelType w:val="multilevel"/>
    <w:tmpl w:val="08864B7E"/>
    <w:lvl w:ilvl="0">
      <w:start w:val="1"/>
      <w:numFmt w:val="decimal"/>
      <w:pStyle w:val="TableBodyNumbering"/>
      <w:lvlText w:val="%1"/>
      <w:lvlJc w:val="right"/>
      <w:pPr>
        <w:tabs>
          <w:tab w:val="num" w:pos="360"/>
        </w:tabs>
        <w:ind w:left="360" w:hanging="216"/>
      </w:pPr>
      <w:rPr>
        <w:rFonts w:ascii="Arial" w:hAnsi="Arial" w:hint="default"/>
        <w:b w:val="0"/>
        <w:i w:val="0"/>
        <w:color w:val="000000" w:themeColor="text1"/>
        <w:spacing w:val="-4"/>
        <w:sz w:val="20"/>
      </w:rPr>
    </w:lvl>
    <w:lvl w:ilvl="1">
      <w:start w:val="1"/>
      <w:numFmt w:val="lowerLetter"/>
      <w:lvlText w:val="%2"/>
      <w:lvlJc w:val="right"/>
      <w:pPr>
        <w:tabs>
          <w:tab w:val="num" w:pos="720"/>
        </w:tabs>
        <w:ind w:left="720" w:hanging="245"/>
      </w:pPr>
      <w:rPr>
        <w:rFonts w:ascii="Arial" w:hAnsi="Arial" w:hint="default"/>
        <w:b w:val="0"/>
        <w:i w:val="0"/>
        <w:color w:val="000000" w:themeColor="text1"/>
        <w:spacing w:val="-4"/>
        <w:sz w:val="20"/>
      </w:rPr>
    </w:lvl>
    <w:lvl w:ilvl="2">
      <w:start w:val="1"/>
      <w:numFmt w:val="lowerRoman"/>
      <w:lvlText w:val="%3"/>
      <w:lvlJc w:val="right"/>
      <w:pPr>
        <w:tabs>
          <w:tab w:val="num" w:pos="1080"/>
        </w:tabs>
        <w:ind w:left="1080" w:hanging="288"/>
      </w:pPr>
      <w:rPr>
        <w:rFonts w:ascii="Arial" w:hAnsi="Arial" w:hint="default"/>
        <w:b w:val="0"/>
        <w:i w:val="0"/>
        <w:color w:val="000000" w:themeColor="text1"/>
        <w:spacing w:val="-4"/>
        <w:sz w:val="2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189666EC"/>
    <w:multiLevelType w:val="multilevel"/>
    <w:tmpl w:val="4AD89A90"/>
    <w:lvl w:ilvl="0">
      <w:start w:val="1"/>
      <w:numFmt w:val="decimal"/>
      <w:pStyle w:val="AnswerNumber"/>
      <w:lvlText w:val="%1"/>
      <w:lvlJc w:val="right"/>
      <w:pPr>
        <w:tabs>
          <w:tab w:val="num" w:pos="720"/>
        </w:tabs>
        <w:ind w:left="720" w:hanging="245"/>
      </w:pPr>
      <w:rPr>
        <w:rFonts w:ascii="Arial" w:hAnsi="Arial" w:hint="default"/>
        <w:b w:val="0"/>
        <w:i w:val="0"/>
        <w:color w:val="000000" w:themeColor="text1"/>
        <w:spacing w:val="-4"/>
        <w:sz w:val="20"/>
      </w:rPr>
    </w:lvl>
    <w:lvl w:ilvl="1">
      <w:start w:val="1"/>
      <w:numFmt w:val="lowerLetter"/>
      <w:lvlText w:val="%2"/>
      <w:lvlJc w:val="right"/>
      <w:pPr>
        <w:tabs>
          <w:tab w:val="num" w:pos="1080"/>
        </w:tabs>
        <w:ind w:left="1080" w:hanging="216"/>
      </w:pPr>
      <w:rPr>
        <w:rFonts w:ascii="Arial" w:hAnsi="Arial" w:hint="default"/>
        <w:b w:val="0"/>
        <w:i w:val="0"/>
        <w:color w:val="000000" w:themeColor="text1"/>
        <w:sz w:val="20"/>
      </w:rPr>
    </w:lvl>
    <w:lvl w:ilvl="2">
      <w:start w:val="1"/>
      <w:numFmt w:val="lowerRoman"/>
      <w:lvlText w:val="%3"/>
      <w:lvlJc w:val="right"/>
      <w:pPr>
        <w:tabs>
          <w:tab w:val="num" w:pos="1440"/>
        </w:tabs>
        <w:ind w:left="1440" w:hanging="288"/>
      </w:pPr>
      <w:rPr>
        <w:rFonts w:ascii="Arial" w:hAnsi="Arial" w:hint="default"/>
        <w:b w:val="0"/>
        <w:i w:val="0"/>
        <w:color w:val="000000" w:themeColor="text1"/>
        <w:sz w:val="20"/>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6" w15:restartNumberingAfterBreak="0">
    <w:nsid w:val="1C3C7241"/>
    <w:multiLevelType w:val="multilevel"/>
    <w:tmpl w:val="734EE7FE"/>
    <w:lvl w:ilvl="0">
      <w:start w:val="1"/>
      <w:numFmt w:val="upperLetter"/>
      <w:pStyle w:val="BulletAlphabet"/>
      <w:lvlText w:val="%1"/>
      <w:lvlJc w:val="right"/>
      <w:pPr>
        <w:tabs>
          <w:tab w:val="num" w:pos="360"/>
        </w:tabs>
        <w:ind w:left="360" w:hanging="216"/>
      </w:pPr>
      <w:rPr>
        <w:rFonts w:ascii="Arial" w:hAnsi="Arial" w:hint="default"/>
        <w:b w:val="0"/>
        <w:i w:val="0"/>
        <w:color w:val="000000" w:themeColor="text1"/>
        <w:spacing w:val="-4"/>
        <w:position w:val="0"/>
        <w:sz w:val="20"/>
      </w:rPr>
    </w:lvl>
    <w:lvl w:ilvl="1">
      <w:start w:val="1"/>
      <w:numFmt w:val="decimal"/>
      <w:lvlText w:val="%2"/>
      <w:lvlJc w:val="right"/>
      <w:pPr>
        <w:tabs>
          <w:tab w:val="num" w:pos="720"/>
        </w:tabs>
        <w:ind w:left="720" w:hanging="245"/>
      </w:pPr>
      <w:rPr>
        <w:rFonts w:ascii="Arial" w:hAnsi="Arial" w:hint="default"/>
        <w:b w:val="0"/>
        <w:i w:val="0"/>
        <w:spacing w:val="-4"/>
        <w:sz w:val="20"/>
      </w:rPr>
    </w:lvl>
    <w:lvl w:ilvl="2">
      <w:start w:val="1"/>
      <w:numFmt w:val="lowerRoman"/>
      <w:lvlText w:val="%3"/>
      <w:lvlJc w:val="right"/>
      <w:pPr>
        <w:tabs>
          <w:tab w:val="num" w:pos="1080"/>
        </w:tabs>
        <w:ind w:left="1080" w:hanging="288"/>
      </w:pPr>
      <w:rPr>
        <w:rFonts w:ascii="Arial" w:hAnsi="Arial" w:hint="default"/>
        <w:b w:val="0"/>
        <w:i w:val="0"/>
        <w:caps w:val="0"/>
        <w:strike w:val="0"/>
        <w:dstrike w:val="0"/>
        <w:vanish w:val="0"/>
        <w:color w:val="000000" w:themeColor="text1"/>
        <w:spacing w:val="-4"/>
        <w:sz w:val="20"/>
        <w:vertAlign w:val="baseline"/>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60724D5"/>
    <w:multiLevelType w:val="multilevel"/>
    <w:tmpl w:val="16004FFA"/>
    <w:lvl w:ilvl="0">
      <w:start w:val="1"/>
      <w:numFmt w:val="decimal"/>
      <w:pStyle w:val="AnswerNumber2"/>
      <w:lvlText w:val="%1"/>
      <w:lvlJc w:val="right"/>
      <w:pPr>
        <w:tabs>
          <w:tab w:val="num" w:pos="1080"/>
        </w:tabs>
        <w:ind w:left="1080" w:hanging="216"/>
      </w:pPr>
      <w:rPr>
        <w:rFonts w:ascii="Arial" w:hAnsi="Arial" w:hint="default"/>
        <w:b w:val="0"/>
        <w:i w:val="0"/>
        <w:color w:val="000000" w:themeColor="text1"/>
        <w:spacing w:val="-4"/>
        <w:sz w:val="20"/>
      </w:rPr>
    </w:lvl>
    <w:lvl w:ilvl="1">
      <w:start w:val="1"/>
      <w:numFmt w:val="lowerLetter"/>
      <w:lvlText w:val="%2"/>
      <w:lvlJc w:val="right"/>
      <w:pPr>
        <w:tabs>
          <w:tab w:val="num" w:pos="1440"/>
        </w:tabs>
        <w:ind w:left="1440" w:hanging="252"/>
      </w:pPr>
      <w:rPr>
        <w:rFonts w:ascii="Arial" w:hAnsi="Arial" w:hint="default"/>
        <w:b w:val="0"/>
        <w:i w:val="0"/>
        <w:color w:val="000000" w:themeColor="text1"/>
        <w:sz w:val="20"/>
      </w:rPr>
    </w:lvl>
    <w:lvl w:ilvl="2">
      <w:start w:val="1"/>
      <w:numFmt w:val="lowerRoman"/>
      <w:lvlText w:val="%3"/>
      <w:lvlJc w:val="right"/>
      <w:pPr>
        <w:tabs>
          <w:tab w:val="num" w:pos="1800"/>
        </w:tabs>
        <w:ind w:left="1800" w:hanging="288"/>
      </w:pPr>
      <w:rPr>
        <w:rFonts w:ascii="Arial" w:hAnsi="Arial" w:hint="default"/>
        <w:b w:val="0"/>
        <w:i w:val="0"/>
        <w:color w:val="000000" w:themeColor="text1"/>
        <w:sz w:val="20"/>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8" w15:restartNumberingAfterBreak="0">
    <w:nsid w:val="27DC5A11"/>
    <w:multiLevelType w:val="multilevel"/>
    <w:tmpl w:val="858488D2"/>
    <w:lvl w:ilvl="0">
      <w:start w:val="1"/>
      <w:numFmt w:val="decimal"/>
      <w:pStyle w:val="BulletNumbering"/>
      <w:lvlText w:val="%1"/>
      <w:lvlJc w:val="right"/>
      <w:pPr>
        <w:tabs>
          <w:tab w:val="num" w:pos="360"/>
        </w:tabs>
        <w:ind w:left="360" w:hanging="216"/>
      </w:pPr>
      <w:rPr>
        <w:rFonts w:ascii="Arial" w:hAnsi="Arial" w:hint="default"/>
        <w:b w:val="0"/>
        <w:i w:val="0"/>
        <w:color w:val="000000" w:themeColor="text1"/>
        <w:spacing w:val="-4"/>
        <w:position w:val="0"/>
        <w:sz w:val="20"/>
      </w:rPr>
    </w:lvl>
    <w:lvl w:ilvl="1">
      <w:start w:val="1"/>
      <w:numFmt w:val="lowerLetter"/>
      <w:lvlText w:val="%2"/>
      <w:lvlJc w:val="right"/>
      <w:pPr>
        <w:tabs>
          <w:tab w:val="num" w:pos="720"/>
        </w:tabs>
        <w:ind w:left="720" w:hanging="245"/>
      </w:pPr>
      <w:rPr>
        <w:rFonts w:ascii="Arial" w:hAnsi="Arial" w:hint="default"/>
        <w:b w:val="0"/>
        <w:i w:val="0"/>
        <w:spacing w:val="-4"/>
        <w:sz w:val="20"/>
      </w:rPr>
    </w:lvl>
    <w:lvl w:ilvl="2">
      <w:start w:val="1"/>
      <w:numFmt w:val="lowerRoman"/>
      <w:lvlText w:val="%3"/>
      <w:lvlJc w:val="right"/>
      <w:pPr>
        <w:tabs>
          <w:tab w:val="num" w:pos="1080"/>
        </w:tabs>
        <w:ind w:left="1080" w:hanging="288"/>
      </w:pPr>
      <w:rPr>
        <w:rFonts w:ascii="Arial" w:hAnsi="Arial" w:hint="default"/>
        <w:b w:val="0"/>
        <w:i w:val="0"/>
        <w:caps w:val="0"/>
        <w:strike w:val="0"/>
        <w:dstrike w:val="0"/>
        <w:vanish w:val="0"/>
        <w:color w:val="000000" w:themeColor="text1"/>
        <w:spacing w:val="-4"/>
        <w:sz w:val="20"/>
        <w:vertAlign w:val="baseline"/>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A8D3006"/>
    <w:multiLevelType w:val="multilevel"/>
    <w:tmpl w:val="B3CE76CC"/>
    <w:lvl w:ilvl="0">
      <w:start w:val="1"/>
      <w:numFmt w:val="decimal"/>
      <w:pStyle w:val="QuestionBody"/>
      <w:lvlText w:val="%1"/>
      <w:lvlJc w:val="right"/>
      <w:pPr>
        <w:tabs>
          <w:tab w:val="num" w:pos="360"/>
        </w:tabs>
        <w:ind w:left="360" w:hanging="216"/>
      </w:pPr>
      <w:rPr>
        <w:rFonts w:ascii="Arial" w:hAnsi="Arial" w:hint="default"/>
        <w:b w:val="0"/>
        <w:i w:val="0"/>
        <w:color w:val="696969"/>
        <w:sz w:val="20"/>
      </w:rPr>
    </w:lvl>
    <w:lvl w:ilvl="1">
      <w:start w:val="1"/>
      <w:numFmt w:val="lowerLetter"/>
      <w:lvlText w:val="%2"/>
      <w:lvlJc w:val="right"/>
      <w:pPr>
        <w:tabs>
          <w:tab w:val="num" w:pos="720"/>
        </w:tabs>
        <w:ind w:left="720" w:hanging="252"/>
      </w:pPr>
      <w:rPr>
        <w:rFonts w:ascii="Arial" w:hAnsi="Arial" w:hint="default"/>
        <w:b w:val="0"/>
        <w:i w:val="0"/>
        <w:caps w:val="0"/>
        <w:strike w:val="0"/>
        <w:dstrike w:val="0"/>
        <w:vanish w:val="0"/>
        <w:color w:val="696969"/>
        <w:sz w:val="20"/>
        <w:vertAlign w:val="baseline"/>
      </w:rPr>
    </w:lvl>
    <w:lvl w:ilvl="2">
      <w:start w:val="1"/>
      <w:numFmt w:val="lowerRoman"/>
      <w:lvlText w:val="%3"/>
      <w:lvlJc w:val="right"/>
      <w:pPr>
        <w:tabs>
          <w:tab w:val="num" w:pos="1080"/>
        </w:tabs>
        <w:ind w:left="1080" w:hanging="288"/>
      </w:pPr>
      <w:rPr>
        <w:rFonts w:ascii="Arial" w:hAnsi="Arial" w:hint="default"/>
        <w:b w:val="0"/>
        <w:i w:val="0"/>
        <w:color w:val="696969"/>
        <w:sz w:val="2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5356694"/>
    <w:multiLevelType w:val="hybridMultilevel"/>
    <w:tmpl w:val="EDE281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37894F75"/>
    <w:multiLevelType w:val="multilevel"/>
    <w:tmpl w:val="C7CA0892"/>
    <w:lvl w:ilvl="0">
      <w:start w:val="1"/>
      <w:numFmt w:val="decimal"/>
      <w:pStyle w:val="AnswerNumber3"/>
      <w:lvlText w:val="%1"/>
      <w:lvlJc w:val="right"/>
      <w:pPr>
        <w:tabs>
          <w:tab w:val="num" w:pos="1440"/>
        </w:tabs>
        <w:ind w:left="1440" w:hanging="245"/>
      </w:pPr>
      <w:rPr>
        <w:rFonts w:ascii="Arial" w:hAnsi="Arial" w:hint="default"/>
        <w:b w:val="0"/>
        <w:i w:val="0"/>
        <w:color w:val="000000" w:themeColor="text1"/>
        <w:spacing w:val="-4"/>
        <w:sz w:val="20"/>
      </w:rPr>
    </w:lvl>
    <w:lvl w:ilvl="1">
      <w:start w:val="1"/>
      <w:numFmt w:val="lowerLetter"/>
      <w:lvlText w:val="%2"/>
      <w:lvlJc w:val="right"/>
      <w:pPr>
        <w:tabs>
          <w:tab w:val="num" w:pos="1800"/>
        </w:tabs>
        <w:ind w:left="1800" w:hanging="252"/>
      </w:pPr>
      <w:rPr>
        <w:rFonts w:ascii="Arial" w:hAnsi="Arial" w:hint="default"/>
        <w:b w:val="0"/>
        <w:i w:val="0"/>
        <w:color w:val="000000" w:themeColor="text1"/>
        <w:sz w:val="20"/>
      </w:rPr>
    </w:lvl>
    <w:lvl w:ilvl="2">
      <w:start w:val="1"/>
      <w:numFmt w:val="lowerRoman"/>
      <w:lvlText w:val="%3"/>
      <w:lvlJc w:val="right"/>
      <w:pPr>
        <w:tabs>
          <w:tab w:val="num" w:pos="2160"/>
        </w:tabs>
        <w:ind w:left="2160" w:hanging="288"/>
      </w:pPr>
      <w:rPr>
        <w:rFonts w:ascii="Arial" w:hAnsi="Arial" w:hint="default"/>
        <w:b w:val="0"/>
        <w:i w:val="0"/>
        <w:color w:val="000000" w:themeColor="text1"/>
        <w:sz w:val="20"/>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12" w15:restartNumberingAfterBreak="0">
    <w:nsid w:val="40C5792C"/>
    <w:multiLevelType w:val="hybridMultilevel"/>
    <w:tmpl w:val="021073F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6BE18A7"/>
    <w:multiLevelType w:val="multilevel"/>
    <w:tmpl w:val="19FEAC2A"/>
    <w:lvl w:ilvl="0">
      <w:start w:val="1"/>
      <w:numFmt w:val="bullet"/>
      <w:pStyle w:val="InstructionBullet"/>
      <w:lvlText w:val=""/>
      <w:lvlJc w:val="left"/>
      <w:pPr>
        <w:ind w:left="360" w:hanging="360"/>
      </w:pPr>
      <w:rPr>
        <w:rFonts w:ascii="Wingdings" w:hAnsi="Wingdings" w:hint="default"/>
        <w:b w:val="0"/>
        <w:i w:val="0"/>
        <w:caps w:val="0"/>
        <w:strike w:val="0"/>
        <w:dstrike w:val="0"/>
        <w:vanish w:val="0"/>
        <w:color w:val="0079C2"/>
        <w:spacing w:val="0"/>
        <w:w w:val="100"/>
        <w:position w:val="0"/>
        <w:sz w:val="14"/>
        <w:vertAlign w:val="baseline"/>
      </w:rPr>
    </w:lvl>
    <w:lvl w:ilvl="1">
      <w:start w:val="1"/>
      <w:numFmt w:val="bullet"/>
      <w:lvlRestart w:val="0"/>
      <w:lvlText w:val=""/>
      <w:lvlJc w:val="left"/>
      <w:pPr>
        <w:ind w:left="720" w:hanging="360"/>
      </w:pPr>
      <w:rPr>
        <w:rFonts w:ascii="Symbol" w:hAnsi="Symbol" w:hint="default"/>
        <w:b/>
        <w:i w:val="0"/>
        <w:caps w:val="0"/>
        <w:strike w:val="0"/>
        <w:dstrike w:val="0"/>
        <w:vanish w:val="0"/>
        <w:color w:val="0079C2"/>
        <w:position w:val="0"/>
        <w:sz w:val="24"/>
        <w:vertAlign w:val="baseline"/>
      </w:rPr>
    </w:lvl>
    <w:lvl w:ilvl="2">
      <w:start w:val="1"/>
      <w:numFmt w:val="bullet"/>
      <w:lvlRestart w:val="0"/>
      <w:lvlText w:val="»"/>
      <w:lvlJc w:val="left"/>
      <w:pPr>
        <w:ind w:left="1080" w:hanging="360"/>
      </w:pPr>
      <w:rPr>
        <w:rFonts w:ascii="Arial Bold" w:hAnsi="Arial Bold" w:hint="default"/>
        <w:b w:val="0"/>
        <w:i w:val="0"/>
        <w:color w:val="0079C2"/>
        <w:sz w:val="24"/>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4B8E3C6B"/>
    <w:multiLevelType w:val="hybridMultilevel"/>
    <w:tmpl w:val="45B80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C231720"/>
    <w:multiLevelType w:val="multilevel"/>
    <w:tmpl w:val="9F3C41BA"/>
    <w:lvl w:ilvl="0">
      <w:start w:val="1"/>
      <w:numFmt w:val="bullet"/>
      <w:pStyle w:val="AnswerBullet"/>
      <w:lvlText w:val=""/>
      <w:lvlJc w:val="left"/>
      <w:pPr>
        <w:ind w:left="720" w:hanging="360"/>
      </w:pPr>
      <w:rPr>
        <w:rFonts w:ascii="Wingdings" w:hAnsi="Wingdings" w:hint="default"/>
        <w:b w:val="0"/>
        <w:i w:val="0"/>
        <w:color w:val="009CA6"/>
        <w:sz w:val="14"/>
      </w:rPr>
    </w:lvl>
    <w:lvl w:ilvl="1">
      <w:start w:val="1"/>
      <w:numFmt w:val="bullet"/>
      <w:lvlText w:val=""/>
      <w:lvlJc w:val="left"/>
      <w:pPr>
        <w:tabs>
          <w:tab w:val="num" w:pos="1080"/>
        </w:tabs>
        <w:ind w:left="1080" w:hanging="360"/>
      </w:pPr>
      <w:rPr>
        <w:rFonts w:ascii="Symbol" w:hAnsi="Symbol" w:hint="default"/>
        <w:b/>
        <w:i w:val="0"/>
        <w:color w:val="009CA6"/>
        <w:sz w:val="20"/>
      </w:rPr>
    </w:lvl>
    <w:lvl w:ilvl="2">
      <w:start w:val="1"/>
      <w:numFmt w:val="bullet"/>
      <w:lvlText w:val="»"/>
      <w:lvlJc w:val="left"/>
      <w:pPr>
        <w:ind w:left="1440" w:hanging="360"/>
      </w:pPr>
      <w:rPr>
        <w:rFonts w:ascii="Arial Bold" w:hAnsi="Arial Bold" w:hint="default"/>
        <w:color w:val="009CA6"/>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6" w15:restartNumberingAfterBreak="0">
    <w:nsid w:val="51556BB1"/>
    <w:multiLevelType w:val="multilevel"/>
    <w:tmpl w:val="6BFC25BE"/>
    <w:lvl w:ilvl="0">
      <w:start w:val="1"/>
      <w:numFmt w:val="bullet"/>
      <w:pStyle w:val="AnswerBullet2"/>
      <w:lvlText w:val=""/>
      <w:lvlJc w:val="left"/>
      <w:pPr>
        <w:ind w:left="1080" w:hanging="360"/>
      </w:pPr>
      <w:rPr>
        <w:rFonts w:ascii="Wingdings" w:hAnsi="Wingdings" w:hint="default"/>
        <w:b w:val="0"/>
        <w:i w:val="0"/>
        <w:color w:val="009CA6"/>
        <w:sz w:val="14"/>
      </w:rPr>
    </w:lvl>
    <w:lvl w:ilvl="1">
      <w:start w:val="1"/>
      <w:numFmt w:val="bullet"/>
      <w:lvlText w:val=""/>
      <w:lvlJc w:val="left"/>
      <w:pPr>
        <w:tabs>
          <w:tab w:val="num" w:pos="1440"/>
        </w:tabs>
        <w:ind w:left="1440" w:hanging="360"/>
      </w:pPr>
      <w:rPr>
        <w:rFonts w:ascii="Symbol" w:hAnsi="Symbol" w:hint="default"/>
        <w:b/>
        <w:i w:val="0"/>
        <w:color w:val="009CA6"/>
      </w:rPr>
    </w:lvl>
    <w:lvl w:ilvl="2">
      <w:start w:val="1"/>
      <w:numFmt w:val="bullet"/>
      <w:lvlText w:val="»"/>
      <w:lvlJc w:val="left"/>
      <w:pPr>
        <w:ind w:left="1800" w:hanging="360"/>
      </w:pPr>
      <w:rPr>
        <w:rFonts w:ascii="Arial Bold" w:hAnsi="Arial Bold" w:hint="default"/>
        <w:color w:val="009CA6"/>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52E13A5D"/>
    <w:multiLevelType w:val="hybridMultilevel"/>
    <w:tmpl w:val="6DD861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32E6252"/>
    <w:multiLevelType w:val="multilevel"/>
    <w:tmpl w:val="01FA11F4"/>
    <w:lvl w:ilvl="0">
      <w:start w:val="1"/>
      <w:numFmt w:val="decimal"/>
      <w:pStyle w:val="TableBodyInstructionNumbering"/>
      <w:lvlText w:val="%1"/>
      <w:lvlJc w:val="right"/>
      <w:pPr>
        <w:tabs>
          <w:tab w:val="num" w:pos="360"/>
        </w:tabs>
        <w:ind w:left="360" w:hanging="216"/>
      </w:pPr>
      <w:rPr>
        <w:rFonts w:ascii="Arial" w:hAnsi="Arial" w:hint="default"/>
        <w:b w:val="0"/>
        <w:i w:val="0"/>
        <w:color w:val="696969"/>
        <w:spacing w:val="-4"/>
        <w:sz w:val="20"/>
      </w:rPr>
    </w:lvl>
    <w:lvl w:ilvl="1">
      <w:start w:val="1"/>
      <w:numFmt w:val="lowerLetter"/>
      <w:lvlText w:val="%2"/>
      <w:lvlJc w:val="right"/>
      <w:pPr>
        <w:tabs>
          <w:tab w:val="num" w:pos="720"/>
        </w:tabs>
        <w:ind w:left="720" w:hanging="245"/>
      </w:pPr>
      <w:rPr>
        <w:rFonts w:ascii="Arial" w:hAnsi="Arial" w:hint="default"/>
        <w:b w:val="0"/>
        <w:i w:val="0"/>
        <w:color w:val="696969"/>
        <w:spacing w:val="-4"/>
        <w:sz w:val="20"/>
      </w:rPr>
    </w:lvl>
    <w:lvl w:ilvl="2">
      <w:start w:val="1"/>
      <w:numFmt w:val="lowerRoman"/>
      <w:lvlText w:val="%3"/>
      <w:lvlJc w:val="right"/>
      <w:pPr>
        <w:tabs>
          <w:tab w:val="num" w:pos="1080"/>
        </w:tabs>
        <w:ind w:left="1080" w:hanging="288"/>
      </w:pPr>
      <w:rPr>
        <w:rFonts w:ascii="Arial" w:hAnsi="Arial" w:hint="default"/>
        <w:b w:val="0"/>
        <w:i w:val="0"/>
        <w:color w:val="696969"/>
        <w:spacing w:val="-4"/>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55A904BE"/>
    <w:multiLevelType w:val="multilevel"/>
    <w:tmpl w:val="CCCC3DEA"/>
    <w:lvl w:ilvl="0">
      <w:start w:val="1"/>
      <w:numFmt w:val="upperLetter"/>
      <w:pStyle w:val="QuestionBodyAlphabet"/>
      <w:lvlText w:val="%1"/>
      <w:lvlJc w:val="right"/>
      <w:pPr>
        <w:tabs>
          <w:tab w:val="num" w:pos="360"/>
        </w:tabs>
        <w:ind w:left="360" w:hanging="216"/>
      </w:pPr>
      <w:rPr>
        <w:rFonts w:ascii="Arial" w:hAnsi="Arial" w:hint="default"/>
        <w:b w:val="0"/>
        <w:i w:val="0"/>
        <w:color w:val="696969"/>
        <w:position w:val="0"/>
        <w:sz w:val="20"/>
      </w:rPr>
    </w:lvl>
    <w:lvl w:ilvl="1">
      <w:start w:val="1"/>
      <w:numFmt w:val="decimal"/>
      <w:lvlText w:val="%2"/>
      <w:lvlJc w:val="right"/>
      <w:pPr>
        <w:tabs>
          <w:tab w:val="num" w:pos="720"/>
        </w:tabs>
        <w:ind w:left="720" w:hanging="245"/>
      </w:pPr>
      <w:rPr>
        <w:rFonts w:ascii="Arial" w:hAnsi="Arial" w:hint="default"/>
        <w:b w:val="0"/>
        <w:i w:val="0"/>
        <w:color w:val="696969"/>
        <w:spacing w:val="-4"/>
        <w:sz w:val="20"/>
      </w:rPr>
    </w:lvl>
    <w:lvl w:ilvl="2">
      <w:start w:val="1"/>
      <w:numFmt w:val="lowerRoman"/>
      <w:lvlText w:val="%3"/>
      <w:lvlJc w:val="right"/>
      <w:pPr>
        <w:tabs>
          <w:tab w:val="num" w:pos="1080"/>
        </w:tabs>
        <w:ind w:left="1080" w:hanging="288"/>
      </w:pPr>
      <w:rPr>
        <w:rFonts w:ascii="Arial" w:hAnsi="Arial" w:hint="default"/>
        <w:b w:val="0"/>
        <w:i w:val="0"/>
        <w:caps w:val="0"/>
        <w:strike w:val="0"/>
        <w:dstrike w:val="0"/>
        <w:vanish w:val="0"/>
        <w:color w:val="696969"/>
        <w:spacing w:val="-4"/>
        <w:sz w:val="20"/>
        <w:vertAlign w:val="baseline"/>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5C35349D"/>
    <w:multiLevelType w:val="multilevel"/>
    <w:tmpl w:val="7E10894C"/>
    <w:lvl w:ilvl="0">
      <w:start w:val="1"/>
      <w:numFmt w:val="bullet"/>
      <w:pStyle w:val="Bullet"/>
      <w:lvlText w:val=""/>
      <w:lvlJc w:val="left"/>
      <w:pPr>
        <w:ind w:left="360" w:hanging="360"/>
      </w:pPr>
      <w:rPr>
        <w:rFonts w:ascii="Wingdings" w:hAnsi="Wingdings" w:hint="default"/>
        <w:b w:val="0"/>
        <w:i w:val="0"/>
        <w:color w:val="009CA6"/>
        <w:sz w:val="14"/>
      </w:rPr>
    </w:lvl>
    <w:lvl w:ilvl="1">
      <w:start w:val="1"/>
      <w:numFmt w:val="bullet"/>
      <w:lvlText w:val=""/>
      <w:lvlJc w:val="left"/>
      <w:pPr>
        <w:ind w:left="720" w:hanging="360"/>
      </w:pPr>
      <w:rPr>
        <w:rFonts w:ascii="Symbol" w:hAnsi="Symbol" w:hint="default"/>
        <w:b/>
        <w:i w:val="0"/>
        <w:color w:val="009CA6"/>
        <w:sz w:val="20"/>
      </w:rPr>
    </w:lvl>
    <w:lvl w:ilvl="2">
      <w:start w:val="1"/>
      <w:numFmt w:val="bullet"/>
      <w:lvlText w:val="»"/>
      <w:lvlJc w:val="left"/>
      <w:pPr>
        <w:ind w:left="1080" w:hanging="360"/>
      </w:pPr>
      <w:rPr>
        <w:rFonts w:ascii="Arial Bold" w:hAnsi="Arial Bold" w:hint="default"/>
        <w:b w:val="0"/>
        <w:i w:val="0"/>
        <w:color w:val="009CA6"/>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660100A4"/>
    <w:multiLevelType w:val="hybridMultilevel"/>
    <w:tmpl w:val="61AEA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AEF286A"/>
    <w:multiLevelType w:val="hybridMultilevel"/>
    <w:tmpl w:val="6EF4E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CA70C02"/>
    <w:multiLevelType w:val="multilevel"/>
    <w:tmpl w:val="DECAB026"/>
    <w:lvl w:ilvl="0">
      <w:start w:val="1"/>
      <w:numFmt w:val="bullet"/>
      <w:pStyle w:val="TableBodyInstructionsBullet"/>
      <w:lvlText w:val=""/>
      <w:lvlJc w:val="left"/>
      <w:pPr>
        <w:tabs>
          <w:tab w:val="num" w:pos="360"/>
        </w:tabs>
        <w:ind w:left="360" w:hanging="360"/>
      </w:pPr>
      <w:rPr>
        <w:rFonts w:ascii="Wingdings" w:hAnsi="Wingdings" w:hint="default"/>
        <w:b w:val="0"/>
        <w:i w:val="0"/>
        <w:color w:val="0079C2"/>
        <w:sz w:val="13"/>
      </w:rPr>
    </w:lvl>
    <w:lvl w:ilvl="1">
      <w:start w:val="1"/>
      <w:numFmt w:val="bullet"/>
      <w:lvlText w:val=""/>
      <w:lvlJc w:val="left"/>
      <w:pPr>
        <w:tabs>
          <w:tab w:val="num" w:pos="720"/>
        </w:tabs>
        <w:ind w:left="720" w:hanging="360"/>
      </w:pPr>
      <w:rPr>
        <w:rFonts w:ascii="Symbol" w:hAnsi="Symbol" w:hint="default"/>
        <w:b/>
        <w:i w:val="0"/>
        <w:color w:val="0079C2"/>
        <w:sz w:val="20"/>
      </w:rPr>
    </w:lvl>
    <w:lvl w:ilvl="2">
      <w:start w:val="1"/>
      <w:numFmt w:val="bullet"/>
      <w:lvlText w:val="»"/>
      <w:lvlJc w:val="left"/>
      <w:pPr>
        <w:ind w:left="1080" w:hanging="360"/>
      </w:pPr>
      <w:rPr>
        <w:rFonts w:ascii="Arial Bold" w:hAnsi="Arial Bold" w:hint="default"/>
        <w:b w:val="0"/>
        <w:i w:val="0"/>
        <w:color w:val="0079C2"/>
        <w:sz w:val="20"/>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6DF50E40"/>
    <w:multiLevelType w:val="hybridMultilevel"/>
    <w:tmpl w:val="9E268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90876CD"/>
    <w:multiLevelType w:val="multilevel"/>
    <w:tmpl w:val="A11C55AC"/>
    <w:lvl w:ilvl="0">
      <w:start w:val="1"/>
      <w:numFmt w:val="bullet"/>
      <w:pStyle w:val="QuestionBullet"/>
      <w:lvlText w:val=""/>
      <w:lvlJc w:val="left"/>
      <w:pPr>
        <w:tabs>
          <w:tab w:val="num" w:pos="720"/>
        </w:tabs>
        <w:ind w:left="720" w:hanging="360"/>
      </w:pPr>
      <w:rPr>
        <w:rFonts w:ascii="Wingdings" w:hAnsi="Wingdings" w:hint="default"/>
        <w:b w:val="0"/>
        <w:i w:val="0"/>
        <w:color w:val="0079C2"/>
        <w:position w:val="0"/>
        <w:sz w:val="14"/>
      </w:rPr>
    </w:lvl>
    <w:lvl w:ilvl="1">
      <w:start w:val="1"/>
      <w:numFmt w:val="bullet"/>
      <w:lvlText w:val=""/>
      <w:lvlJc w:val="left"/>
      <w:pPr>
        <w:tabs>
          <w:tab w:val="num" w:pos="1080"/>
        </w:tabs>
        <w:ind w:left="1080" w:hanging="360"/>
      </w:pPr>
      <w:rPr>
        <w:rFonts w:ascii="Symbol" w:hAnsi="Symbol" w:hint="default"/>
        <w:b/>
        <w:i w:val="0"/>
        <w:color w:val="0079C2"/>
        <w:spacing w:val="-4"/>
        <w:sz w:val="20"/>
      </w:rPr>
    </w:lvl>
    <w:lvl w:ilvl="2">
      <w:start w:val="1"/>
      <w:numFmt w:val="bullet"/>
      <w:lvlText w:val="»"/>
      <w:lvlJc w:val="left"/>
      <w:pPr>
        <w:ind w:left="1440" w:hanging="360"/>
      </w:pPr>
      <w:rPr>
        <w:rFonts w:ascii="Arial Bold" w:hAnsi="Arial Bold" w:hint="default"/>
        <w:b w:val="0"/>
        <w:i w:val="0"/>
        <w:caps w:val="0"/>
        <w:strike w:val="0"/>
        <w:dstrike w:val="0"/>
        <w:vanish w:val="0"/>
        <w:color w:val="0079C2"/>
        <w:spacing w:val="-4"/>
        <w:sz w:val="20"/>
        <w:vertAlign w:val="baseline"/>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3"/>
  </w:num>
  <w:num w:numId="2">
    <w:abstractNumId w:val="9"/>
  </w:num>
  <w:num w:numId="3">
    <w:abstractNumId w:val="19"/>
  </w:num>
  <w:num w:numId="4">
    <w:abstractNumId w:val="25"/>
  </w:num>
  <w:num w:numId="5">
    <w:abstractNumId w:val="20"/>
  </w:num>
  <w:num w:numId="6">
    <w:abstractNumId w:val="6"/>
  </w:num>
  <w:num w:numId="7">
    <w:abstractNumId w:val="8"/>
  </w:num>
  <w:num w:numId="8">
    <w:abstractNumId w:val="15"/>
  </w:num>
  <w:num w:numId="9">
    <w:abstractNumId w:val="16"/>
  </w:num>
  <w:num w:numId="10">
    <w:abstractNumId w:val="0"/>
  </w:num>
  <w:num w:numId="11">
    <w:abstractNumId w:val="5"/>
  </w:num>
  <w:num w:numId="12">
    <w:abstractNumId w:val="7"/>
  </w:num>
  <w:num w:numId="13">
    <w:abstractNumId w:val="11"/>
  </w:num>
  <w:num w:numId="14">
    <w:abstractNumId w:val="2"/>
  </w:num>
  <w:num w:numId="15">
    <w:abstractNumId w:val="18"/>
  </w:num>
  <w:num w:numId="16">
    <w:abstractNumId w:val="23"/>
  </w:num>
  <w:num w:numId="17">
    <w:abstractNumId w:val="4"/>
  </w:num>
  <w:num w:numId="18">
    <w:abstractNumId w:val="24"/>
  </w:num>
  <w:num w:numId="19">
    <w:abstractNumId w:val="17"/>
  </w:num>
  <w:num w:numId="20">
    <w:abstractNumId w:val="22"/>
  </w:num>
  <w:num w:numId="21">
    <w:abstractNumId w:val="1"/>
  </w:num>
  <w:num w:numId="22">
    <w:abstractNumId w:val="3"/>
  </w:num>
  <w:num w:numId="23">
    <w:abstractNumId w:val="10"/>
  </w:num>
  <w:num w:numId="24">
    <w:abstractNumId w:val="12"/>
  </w:num>
  <w:num w:numId="25">
    <w:abstractNumId w:val="14"/>
  </w:num>
  <w:num w:numId="26">
    <w:abstractNumId w:val="2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evenAndOddHeaders/>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3330"/>
    <w:rsid w:val="00020628"/>
    <w:rsid w:val="0004531D"/>
    <w:rsid w:val="00086B0E"/>
    <w:rsid w:val="000B1A57"/>
    <w:rsid w:val="000B4597"/>
    <w:rsid w:val="000B7F20"/>
    <w:rsid w:val="000C38E3"/>
    <w:rsid w:val="000C64EE"/>
    <w:rsid w:val="000D0461"/>
    <w:rsid w:val="000E6258"/>
    <w:rsid w:val="000F2D35"/>
    <w:rsid w:val="000F5002"/>
    <w:rsid w:val="00163815"/>
    <w:rsid w:val="00166176"/>
    <w:rsid w:val="001702E7"/>
    <w:rsid w:val="001769F2"/>
    <w:rsid w:val="00177103"/>
    <w:rsid w:val="00184EC9"/>
    <w:rsid w:val="001C64D9"/>
    <w:rsid w:val="001D63E7"/>
    <w:rsid w:val="001F0525"/>
    <w:rsid w:val="0022714B"/>
    <w:rsid w:val="00231FEB"/>
    <w:rsid w:val="00250240"/>
    <w:rsid w:val="0025436D"/>
    <w:rsid w:val="00256E32"/>
    <w:rsid w:val="0026734A"/>
    <w:rsid w:val="0027171D"/>
    <w:rsid w:val="00297DA7"/>
    <w:rsid w:val="002E4D90"/>
    <w:rsid w:val="00346A8F"/>
    <w:rsid w:val="003518F9"/>
    <w:rsid w:val="00365049"/>
    <w:rsid w:val="00381630"/>
    <w:rsid w:val="00396B99"/>
    <w:rsid w:val="003D6158"/>
    <w:rsid w:val="003E72EC"/>
    <w:rsid w:val="003F52D4"/>
    <w:rsid w:val="004156C4"/>
    <w:rsid w:val="00421C13"/>
    <w:rsid w:val="004271FA"/>
    <w:rsid w:val="004818D5"/>
    <w:rsid w:val="00497689"/>
    <w:rsid w:val="004A7A71"/>
    <w:rsid w:val="004A7D1C"/>
    <w:rsid w:val="004C67E6"/>
    <w:rsid w:val="004E689B"/>
    <w:rsid w:val="00502E78"/>
    <w:rsid w:val="0051482A"/>
    <w:rsid w:val="00524298"/>
    <w:rsid w:val="00552FB9"/>
    <w:rsid w:val="00563DBD"/>
    <w:rsid w:val="005845FB"/>
    <w:rsid w:val="005846D8"/>
    <w:rsid w:val="00587460"/>
    <w:rsid w:val="005B0535"/>
    <w:rsid w:val="005D1899"/>
    <w:rsid w:val="00624FE9"/>
    <w:rsid w:val="00647203"/>
    <w:rsid w:val="00660BBA"/>
    <w:rsid w:val="00663D6E"/>
    <w:rsid w:val="00677A4D"/>
    <w:rsid w:val="00682D36"/>
    <w:rsid w:val="006B73AC"/>
    <w:rsid w:val="006B7474"/>
    <w:rsid w:val="006D0568"/>
    <w:rsid w:val="006F7D96"/>
    <w:rsid w:val="00701B4B"/>
    <w:rsid w:val="0072308D"/>
    <w:rsid w:val="00724D9E"/>
    <w:rsid w:val="00751DEE"/>
    <w:rsid w:val="0075731E"/>
    <w:rsid w:val="00762168"/>
    <w:rsid w:val="0077178C"/>
    <w:rsid w:val="007866D8"/>
    <w:rsid w:val="00790601"/>
    <w:rsid w:val="00791DE9"/>
    <w:rsid w:val="00796C6E"/>
    <w:rsid w:val="007B6B74"/>
    <w:rsid w:val="007D66BB"/>
    <w:rsid w:val="007F3B62"/>
    <w:rsid w:val="0080293C"/>
    <w:rsid w:val="00822606"/>
    <w:rsid w:val="0084436F"/>
    <w:rsid w:val="008A7F7F"/>
    <w:rsid w:val="008E2E90"/>
    <w:rsid w:val="008E2F26"/>
    <w:rsid w:val="008F377B"/>
    <w:rsid w:val="0091686F"/>
    <w:rsid w:val="00922231"/>
    <w:rsid w:val="00937A13"/>
    <w:rsid w:val="00961DF6"/>
    <w:rsid w:val="00970BA7"/>
    <w:rsid w:val="00977848"/>
    <w:rsid w:val="00996E3C"/>
    <w:rsid w:val="009F5FE4"/>
    <w:rsid w:val="00A53330"/>
    <w:rsid w:val="00A53865"/>
    <w:rsid w:val="00A638F5"/>
    <w:rsid w:val="00A825B1"/>
    <w:rsid w:val="00A85D5F"/>
    <w:rsid w:val="00A85FA2"/>
    <w:rsid w:val="00AA0641"/>
    <w:rsid w:val="00AA5282"/>
    <w:rsid w:val="00AA7CF1"/>
    <w:rsid w:val="00AE38C8"/>
    <w:rsid w:val="00AE563D"/>
    <w:rsid w:val="00B168C2"/>
    <w:rsid w:val="00B319EE"/>
    <w:rsid w:val="00B519F1"/>
    <w:rsid w:val="00B752F7"/>
    <w:rsid w:val="00B77F4E"/>
    <w:rsid w:val="00BB3421"/>
    <w:rsid w:val="00BE1E26"/>
    <w:rsid w:val="00BE4D6A"/>
    <w:rsid w:val="00C313DC"/>
    <w:rsid w:val="00C36705"/>
    <w:rsid w:val="00C407CE"/>
    <w:rsid w:val="00C45792"/>
    <w:rsid w:val="00C74D01"/>
    <w:rsid w:val="00C77CBE"/>
    <w:rsid w:val="00C95180"/>
    <w:rsid w:val="00CA0F54"/>
    <w:rsid w:val="00CB1C77"/>
    <w:rsid w:val="00CC0F16"/>
    <w:rsid w:val="00CD591C"/>
    <w:rsid w:val="00CD7964"/>
    <w:rsid w:val="00CF27BD"/>
    <w:rsid w:val="00D62BB6"/>
    <w:rsid w:val="00D65BBB"/>
    <w:rsid w:val="00D70318"/>
    <w:rsid w:val="00DC5E91"/>
    <w:rsid w:val="00DD245C"/>
    <w:rsid w:val="00DE1825"/>
    <w:rsid w:val="00DE5727"/>
    <w:rsid w:val="00E11F02"/>
    <w:rsid w:val="00E135B9"/>
    <w:rsid w:val="00E47D24"/>
    <w:rsid w:val="00E67D56"/>
    <w:rsid w:val="00E73FB0"/>
    <w:rsid w:val="00EB4D95"/>
    <w:rsid w:val="00EC6FF3"/>
    <w:rsid w:val="00ED580F"/>
    <w:rsid w:val="00EF12D2"/>
    <w:rsid w:val="00F12068"/>
    <w:rsid w:val="00FC0F73"/>
    <w:rsid w:val="00FC282B"/>
    <w:rsid w:val="00FD011D"/>
    <w:rsid w:val="00FF7B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34F0D99F"/>
  <w15:chartTrackingRefBased/>
  <w15:docId w15:val="{71823160-B42F-4E3A-92AF-C47E2728F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7848"/>
    <w:pPr>
      <w:spacing w:after="200" w:line="276" w:lineRule="auto"/>
    </w:pPr>
    <w:rPr>
      <w:rFonts w:eastAsiaTheme="minorEastAsia"/>
    </w:rPr>
  </w:style>
  <w:style w:type="paragraph" w:styleId="Heading1">
    <w:name w:val="heading 1"/>
    <w:next w:val="Normal"/>
    <w:link w:val="Heading1Char"/>
    <w:uiPriority w:val="9"/>
    <w:qFormat/>
    <w:pPr>
      <w:keepNext/>
      <w:keepLines/>
      <w:spacing w:before="240" w:after="100" w:line="360" w:lineRule="exact"/>
      <w:outlineLvl w:val="0"/>
    </w:pPr>
    <w:rPr>
      <w:rFonts w:ascii="Arial" w:eastAsiaTheme="majorEastAsia" w:hAnsi="Arial" w:cs="Times New Roman (Headings CS)"/>
      <w:b/>
      <w:color w:val="0079C2"/>
      <w:spacing w:val="-6"/>
      <w:kern w:val="28"/>
      <w:sz w:val="36"/>
      <w:szCs w:val="32"/>
    </w:rPr>
  </w:style>
  <w:style w:type="paragraph" w:styleId="Heading2">
    <w:name w:val="heading 2"/>
    <w:next w:val="Normal"/>
    <w:link w:val="Heading2Char"/>
    <w:uiPriority w:val="9"/>
    <w:unhideWhenUsed/>
    <w:qFormat/>
    <w:pPr>
      <w:keepNext/>
      <w:keepLines/>
      <w:spacing w:before="160" w:after="80" w:line="360" w:lineRule="exact"/>
      <w:outlineLvl w:val="1"/>
    </w:pPr>
    <w:rPr>
      <w:rFonts w:ascii="Arial" w:eastAsiaTheme="majorEastAsia" w:hAnsi="Arial" w:cs="Times New Roman (Headings CS)"/>
      <w:b/>
      <w:color w:val="009CA6"/>
      <w:spacing w:val="-6"/>
      <w:sz w:val="32"/>
      <w:szCs w:val="26"/>
    </w:rPr>
  </w:style>
  <w:style w:type="paragraph" w:styleId="Heading3">
    <w:name w:val="heading 3"/>
    <w:next w:val="Normal"/>
    <w:link w:val="Heading3Char"/>
    <w:uiPriority w:val="9"/>
    <w:unhideWhenUsed/>
    <w:qFormat/>
    <w:pPr>
      <w:keepNext/>
      <w:keepLines/>
      <w:widowControl w:val="0"/>
      <w:spacing w:before="160" w:after="60" w:line="360" w:lineRule="exact"/>
      <w:outlineLvl w:val="2"/>
    </w:pPr>
    <w:rPr>
      <w:rFonts w:ascii="Arial" w:eastAsiaTheme="majorEastAsia" w:hAnsi="Arial" w:cs="Times New Roman (Headings CS)"/>
      <w:b/>
      <w:color w:val="000000" w:themeColor="text1"/>
      <w:spacing w:val="-6"/>
      <w:sz w:val="28"/>
      <w:szCs w:val="24"/>
    </w:rPr>
  </w:style>
  <w:style w:type="paragraph" w:styleId="Heading4">
    <w:name w:val="heading 4"/>
    <w:next w:val="Normal"/>
    <w:link w:val="Heading4Char"/>
    <w:uiPriority w:val="9"/>
    <w:unhideWhenUsed/>
    <w:pPr>
      <w:keepNext/>
      <w:keepLines/>
      <w:widowControl w:val="0"/>
      <w:spacing w:before="160" w:after="60" w:line="360" w:lineRule="exact"/>
      <w:outlineLvl w:val="3"/>
    </w:pPr>
    <w:rPr>
      <w:rFonts w:ascii="Arial" w:eastAsiaTheme="majorEastAsia" w:hAnsi="Arial" w:cs="Times New Roman (Headings CS)"/>
      <w:b/>
      <w:iCs/>
      <w:color w:val="69B3E7"/>
      <w:spacing w:val="-6"/>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swerBody">
    <w:name w:val="Answer Body"/>
    <w:link w:val="AnswerBodyChar"/>
    <w:qFormat/>
    <w:pPr>
      <w:keepLines/>
      <w:spacing w:line="260" w:lineRule="exact"/>
      <w:ind w:left="360"/>
    </w:pPr>
    <w:rPr>
      <w:rFonts w:ascii="Arial" w:hAnsi="Arial"/>
      <w:color w:val="000000" w:themeColor="text1"/>
      <w:spacing w:val="-4"/>
      <w:sz w:val="20"/>
    </w:rPr>
  </w:style>
  <w:style w:type="character" w:customStyle="1" w:styleId="AnswerBodyChar">
    <w:name w:val="Answer Body Char"/>
    <w:basedOn w:val="DefaultParagraphFont"/>
    <w:link w:val="AnswerBody"/>
    <w:locked/>
    <w:rPr>
      <w:rFonts w:ascii="Arial" w:hAnsi="Arial"/>
      <w:color w:val="000000" w:themeColor="text1"/>
      <w:spacing w:val="-4"/>
      <w:sz w:val="20"/>
    </w:rPr>
  </w:style>
  <w:style w:type="paragraph" w:customStyle="1" w:styleId="AnswerBody2">
    <w:name w:val="Answer Body 2"/>
    <w:link w:val="AnswerBody2Char"/>
    <w:pPr>
      <w:keepLines/>
      <w:spacing w:line="260" w:lineRule="exact"/>
      <w:ind w:left="720"/>
    </w:pPr>
    <w:rPr>
      <w:rFonts w:ascii="Arial" w:hAnsi="Arial"/>
      <w:color w:val="000000" w:themeColor="text1"/>
      <w:spacing w:val="-4"/>
      <w:sz w:val="20"/>
    </w:rPr>
  </w:style>
  <w:style w:type="character" w:customStyle="1" w:styleId="AnswerBody2Char">
    <w:name w:val="Answer Body 2 Char"/>
    <w:basedOn w:val="AnswerBodyChar"/>
    <w:link w:val="AnswerBody2"/>
    <w:rPr>
      <w:rFonts w:ascii="Arial" w:hAnsi="Arial"/>
      <w:color w:val="000000" w:themeColor="text1"/>
      <w:spacing w:val="-4"/>
      <w:sz w:val="20"/>
    </w:rPr>
  </w:style>
  <w:style w:type="paragraph" w:customStyle="1" w:styleId="AnswerBody3">
    <w:name w:val="Answer Body 3"/>
    <w:pPr>
      <w:keepLines/>
      <w:spacing w:line="260" w:lineRule="exact"/>
      <w:ind w:left="1080"/>
    </w:pPr>
    <w:rPr>
      <w:rFonts w:ascii="Arial" w:hAnsi="Arial"/>
      <w:color w:val="000000" w:themeColor="text1"/>
      <w:spacing w:val="-4"/>
      <w:sz w:val="20"/>
    </w:rPr>
  </w:style>
  <w:style w:type="paragraph" w:customStyle="1" w:styleId="AnswerBullet">
    <w:name w:val="Answer Bullet"/>
    <w:link w:val="AnswerBulletChar"/>
    <w:qFormat/>
    <w:pPr>
      <w:keepLines/>
      <w:numPr>
        <w:numId w:val="8"/>
      </w:numPr>
      <w:spacing w:after="60" w:line="260" w:lineRule="exact"/>
    </w:pPr>
    <w:rPr>
      <w:rFonts w:ascii="Arial" w:hAnsi="Arial"/>
      <w:color w:val="000000" w:themeColor="text1"/>
      <w:spacing w:val="-4"/>
      <w:sz w:val="20"/>
    </w:rPr>
  </w:style>
  <w:style w:type="character" w:customStyle="1" w:styleId="AnswerBulletChar">
    <w:name w:val="Answer Bullet Char"/>
    <w:basedOn w:val="DefaultParagraphFont"/>
    <w:link w:val="AnswerBullet"/>
    <w:rPr>
      <w:rFonts w:ascii="Arial" w:hAnsi="Arial"/>
      <w:color w:val="000000" w:themeColor="text1"/>
      <w:spacing w:val="-4"/>
      <w:sz w:val="20"/>
    </w:rPr>
  </w:style>
  <w:style w:type="paragraph" w:customStyle="1" w:styleId="AnswerBullet2">
    <w:name w:val="Answer Bullet 2"/>
    <w:pPr>
      <w:numPr>
        <w:numId w:val="9"/>
      </w:numPr>
      <w:spacing w:after="60" w:line="260" w:lineRule="exact"/>
    </w:pPr>
    <w:rPr>
      <w:rFonts w:ascii="Arial" w:hAnsi="Arial"/>
      <w:color w:val="000000" w:themeColor="text1"/>
      <w:spacing w:val="-4"/>
      <w:sz w:val="20"/>
    </w:rPr>
  </w:style>
  <w:style w:type="paragraph" w:customStyle="1" w:styleId="AnswerBullet3">
    <w:name w:val="Answer Bullet 3"/>
    <w:pPr>
      <w:keepLines/>
      <w:numPr>
        <w:numId w:val="10"/>
      </w:numPr>
      <w:spacing w:after="60" w:line="260" w:lineRule="exact"/>
    </w:pPr>
    <w:rPr>
      <w:rFonts w:ascii="Arial" w:hAnsi="Arial"/>
      <w:color w:val="000000" w:themeColor="text1"/>
      <w:spacing w:val="-4"/>
      <w:sz w:val="20"/>
    </w:rPr>
  </w:style>
  <w:style w:type="paragraph" w:customStyle="1" w:styleId="AnswerHeadline1">
    <w:name w:val="Answer Headline 1"/>
    <w:link w:val="AnswerHeadline1CharChar"/>
    <w:pPr>
      <w:keepNext/>
      <w:keepLines/>
      <w:tabs>
        <w:tab w:val="left" w:pos="360"/>
        <w:tab w:val="left" w:pos="720"/>
        <w:tab w:val="left" w:pos="1080"/>
        <w:tab w:val="left" w:pos="1440"/>
        <w:tab w:val="left" w:pos="1800"/>
        <w:tab w:val="left" w:pos="2160"/>
      </w:tabs>
      <w:spacing w:before="200" w:after="60" w:line="300" w:lineRule="exact"/>
      <w:ind w:left="360"/>
    </w:pPr>
    <w:rPr>
      <w:rFonts w:ascii="Arial" w:hAnsi="Arial" w:cs="Times New Roman (Body CS)"/>
      <w:b/>
      <w:color w:val="009CA6"/>
      <w:sz w:val="24"/>
    </w:rPr>
  </w:style>
  <w:style w:type="character" w:customStyle="1" w:styleId="AnswerHeadline1CharChar">
    <w:name w:val="Answer Headline 1 Char Char"/>
    <w:link w:val="AnswerHeadline1"/>
    <w:rPr>
      <w:rFonts w:ascii="Arial" w:hAnsi="Arial" w:cs="Times New Roman (Body CS)"/>
      <w:b/>
      <w:color w:val="009CA6"/>
      <w:sz w:val="24"/>
    </w:rPr>
  </w:style>
  <w:style w:type="paragraph" w:customStyle="1" w:styleId="AnswerHeadline2">
    <w:name w:val="Answer Headline 2"/>
    <w:pPr>
      <w:keepNext/>
      <w:keepLines/>
      <w:tabs>
        <w:tab w:val="left" w:pos="360"/>
        <w:tab w:val="left" w:pos="720"/>
        <w:tab w:val="left" w:pos="1080"/>
        <w:tab w:val="left" w:pos="1440"/>
        <w:tab w:val="left" w:pos="1800"/>
        <w:tab w:val="left" w:pos="2160"/>
      </w:tabs>
      <w:spacing w:before="200" w:after="60" w:line="260" w:lineRule="exact"/>
      <w:ind w:left="360"/>
    </w:pPr>
    <w:rPr>
      <w:rFonts w:ascii="Arial" w:hAnsi="Arial" w:cs="Times New Roman (Body CS)"/>
      <w:b/>
      <w:color w:val="0079C2"/>
    </w:rPr>
  </w:style>
  <w:style w:type="paragraph" w:customStyle="1" w:styleId="AnswerHeadline3">
    <w:name w:val="Answer Headline 3"/>
    <w:pPr>
      <w:keepNext/>
      <w:keepLines/>
      <w:tabs>
        <w:tab w:val="left" w:pos="360"/>
        <w:tab w:val="left" w:pos="720"/>
        <w:tab w:val="left" w:pos="1080"/>
        <w:tab w:val="left" w:pos="1440"/>
        <w:tab w:val="left" w:pos="1800"/>
        <w:tab w:val="left" w:pos="2160"/>
      </w:tabs>
      <w:spacing w:before="200" w:after="60" w:line="260" w:lineRule="exact"/>
      <w:ind w:left="360"/>
    </w:pPr>
    <w:rPr>
      <w:rFonts w:ascii="Arial" w:hAnsi="Arial" w:cs="Times New Roman (Body CS)"/>
      <w:b/>
      <w:color w:val="000000" w:themeColor="text1"/>
      <w:sz w:val="20"/>
    </w:rPr>
  </w:style>
  <w:style w:type="paragraph" w:customStyle="1" w:styleId="AnswerNumber">
    <w:name w:val="Answer Number"/>
    <w:pPr>
      <w:keepLines/>
      <w:numPr>
        <w:numId w:val="11"/>
      </w:numPr>
      <w:spacing w:after="60" w:line="260" w:lineRule="exact"/>
    </w:pPr>
    <w:rPr>
      <w:rFonts w:ascii="Arial" w:hAnsi="Arial"/>
      <w:color w:val="000000" w:themeColor="text1"/>
      <w:spacing w:val="-4"/>
      <w:sz w:val="20"/>
    </w:rPr>
  </w:style>
  <w:style w:type="paragraph" w:customStyle="1" w:styleId="AnswerNumber2">
    <w:name w:val="Answer Number 2"/>
    <w:pPr>
      <w:keepLines/>
      <w:numPr>
        <w:numId w:val="12"/>
      </w:numPr>
      <w:spacing w:after="60" w:line="260" w:lineRule="exact"/>
    </w:pPr>
    <w:rPr>
      <w:rFonts w:ascii="Arial" w:hAnsi="Arial"/>
      <w:color w:val="000000" w:themeColor="text1"/>
      <w:spacing w:val="-4"/>
      <w:sz w:val="20"/>
    </w:rPr>
  </w:style>
  <w:style w:type="paragraph" w:customStyle="1" w:styleId="AnswerNumber3">
    <w:name w:val="Answer Number 3"/>
    <w:pPr>
      <w:keepLines/>
      <w:numPr>
        <w:numId w:val="13"/>
      </w:numPr>
      <w:spacing w:after="60" w:line="260" w:lineRule="exact"/>
    </w:pPr>
    <w:rPr>
      <w:rFonts w:ascii="Arial" w:hAnsi="Arial"/>
      <w:color w:val="000000" w:themeColor="text1"/>
      <w:spacing w:val="-4"/>
      <w:sz w:val="20"/>
    </w:rPr>
  </w:style>
  <w:style w:type="table" w:customStyle="1" w:styleId="AnthemTablenoHeader">
    <w:name w:val="AnthemTable_noHeader"/>
    <w:basedOn w:val="TableNormal"/>
    <w:uiPriority w:val="99"/>
    <w:pPr>
      <w:spacing w:after="0" w:line="240" w:lineRule="auto"/>
    </w:pPr>
    <w:rPr>
      <w:rFonts w:ascii="Arial" w:hAnsi="Arial"/>
      <w:color w:val="0D0D0D" w:themeColor="text1" w:themeTint="F2"/>
      <w:sz w:val="20"/>
    </w:rPr>
    <w:tblPr>
      <w:tblStyleRowBandSize w:val="1"/>
      <w:tblBorders>
        <w:top w:val="single" w:sz="4" w:space="0" w:color="69B3E7"/>
        <w:left w:val="single" w:sz="4" w:space="0" w:color="69B3E7"/>
        <w:bottom w:val="single" w:sz="4" w:space="0" w:color="69B3E7"/>
        <w:right w:val="single" w:sz="4" w:space="0" w:color="69B3E7"/>
        <w:insideH w:val="single" w:sz="4" w:space="0" w:color="69B3E7"/>
        <w:insideV w:val="single" w:sz="4" w:space="0" w:color="69B3E7"/>
      </w:tblBorders>
    </w:tblPr>
    <w:tblStylePr w:type="band1Horz">
      <w:tblPr/>
      <w:tcPr>
        <w:shd w:val="clear" w:color="auto" w:fill="CAE5F8"/>
      </w:tcPr>
    </w:tblStylePr>
  </w:style>
  <w:style w:type="table" w:customStyle="1" w:styleId="AnthemTablewithHeader">
    <w:name w:val="AnthemTable_withHeader"/>
    <w:basedOn w:val="TableNormal"/>
    <w:uiPriority w:val="99"/>
    <w:pPr>
      <w:spacing w:after="0" w:line="240" w:lineRule="auto"/>
    </w:pPr>
    <w:rPr>
      <w:rFonts w:ascii="Arial" w:hAnsi="Arial"/>
      <w:color w:val="0D0D0D" w:themeColor="text1" w:themeTint="F2"/>
      <w:sz w:val="20"/>
    </w:rPr>
    <w:tblPr>
      <w:tblStyleRowBandSize w:val="1"/>
      <w:tblStyleColBandSize w:val="1"/>
      <w:tblBorders>
        <w:top w:val="single" w:sz="4" w:space="0" w:color="69B3E7"/>
        <w:left w:val="single" w:sz="4" w:space="0" w:color="69B3E7"/>
        <w:bottom w:val="single" w:sz="4" w:space="0" w:color="69B3E7"/>
        <w:right w:val="single" w:sz="4" w:space="0" w:color="69B3E7"/>
        <w:insideH w:val="single" w:sz="4" w:space="0" w:color="69B3E7"/>
        <w:insideV w:val="single" w:sz="4" w:space="0" w:color="69B3E7"/>
      </w:tblBorders>
    </w:tblPr>
    <w:tblStylePr w:type="firstRow">
      <w:pPr>
        <w:jc w:val="left"/>
      </w:pPr>
      <w:rPr>
        <w:rFonts w:ascii="Arial" w:hAnsi="Arial"/>
        <w:b w:val="0"/>
        <w:bCs/>
        <w:i w:val="0"/>
        <w:color w:val="FFFFFF" w:themeColor="background1"/>
        <w:sz w:val="20"/>
      </w:rPr>
      <w:tblPr/>
      <w:trPr>
        <w:tblHeader/>
      </w:trPr>
      <w:tcPr>
        <w:shd w:val="clear" w:color="auto" w:fill="0079C2"/>
        <w:vAlign w:val="bottom"/>
      </w:tcPr>
    </w:tblStylePr>
    <w:tblStylePr w:type="lastRow">
      <w:pPr>
        <w:jc w:val="left"/>
      </w:pPr>
      <w:rPr>
        <w:rFonts w:ascii="Arial" w:hAnsi="Arial"/>
        <w:b w:val="0"/>
        <w:bCs/>
        <w:i w:val="0"/>
        <w:color w:val="0D0D0D" w:themeColor="text1" w:themeTint="F2"/>
        <w:sz w:val="20"/>
      </w:rPr>
      <w:tblPr/>
      <w:tcPr>
        <w:tcBorders>
          <w:top w:val="nil"/>
        </w:tcBorders>
      </w:tcPr>
    </w:tblStylePr>
    <w:tblStylePr w:type="firstCol">
      <w:pPr>
        <w:jc w:val="left"/>
      </w:pPr>
      <w:rPr>
        <w:rFonts w:ascii="Arial" w:hAnsi="Arial"/>
        <w:b w:val="0"/>
        <w:bCs/>
        <w:color w:val="0D0D0D" w:themeColor="text1" w:themeTint="F2"/>
        <w:sz w:val="20"/>
      </w:rPr>
    </w:tblStylePr>
    <w:tblStylePr w:type="lastCol">
      <w:rPr>
        <w:rFonts w:ascii="Arial" w:hAnsi="Arial"/>
        <w:b w:val="0"/>
        <w:bCs/>
        <w:i w:val="0"/>
        <w:color w:val="auto"/>
        <w:sz w:val="20"/>
      </w:rPr>
    </w:tblStylePr>
    <w:tblStylePr w:type="band1Horz">
      <w:tblPr/>
      <w:tcPr>
        <w:shd w:val="clear" w:color="auto" w:fill="CAE5F8"/>
      </w:tcPr>
    </w:tblStylePr>
  </w:style>
  <w:style w:type="paragraph" w:customStyle="1" w:styleId="BodyText1">
    <w:name w:val="Body Text1"/>
    <w:qFormat/>
    <w:pPr>
      <w:keepLines/>
      <w:spacing w:line="260" w:lineRule="exact"/>
    </w:pPr>
    <w:rPr>
      <w:rFonts w:ascii="Arial" w:hAnsi="Arial"/>
      <w:color w:val="000000"/>
      <w:spacing w:val="-4"/>
      <w:sz w:val="20"/>
    </w:rPr>
  </w:style>
  <w:style w:type="paragraph" w:customStyle="1" w:styleId="Bullet">
    <w:name w:val="Bullet"/>
    <w:link w:val="BulletChar"/>
    <w:pPr>
      <w:keepLines/>
      <w:numPr>
        <w:numId w:val="5"/>
      </w:numPr>
      <w:spacing w:after="60" w:line="260" w:lineRule="exact"/>
    </w:pPr>
    <w:rPr>
      <w:rFonts w:ascii="Arial" w:hAnsi="Arial"/>
      <w:color w:val="000000" w:themeColor="text1"/>
      <w:spacing w:val="-4"/>
      <w:sz w:val="20"/>
    </w:rPr>
  </w:style>
  <w:style w:type="paragraph" w:customStyle="1" w:styleId="BulletAlphabet">
    <w:name w:val="Bullet Alphabet"/>
    <w:pPr>
      <w:keepLines/>
      <w:numPr>
        <w:numId w:val="6"/>
      </w:numPr>
      <w:spacing w:after="60" w:line="260" w:lineRule="exact"/>
    </w:pPr>
    <w:rPr>
      <w:rFonts w:ascii="Arial" w:hAnsi="Arial"/>
      <w:color w:val="000000" w:themeColor="text1"/>
      <w:spacing w:val="-4"/>
      <w:sz w:val="20"/>
    </w:rPr>
  </w:style>
  <w:style w:type="paragraph" w:customStyle="1" w:styleId="BulletNumbering">
    <w:name w:val="Bullet Numbering"/>
    <w:pPr>
      <w:keepLines/>
      <w:numPr>
        <w:numId w:val="7"/>
      </w:numPr>
      <w:spacing w:after="60" w:line="260" w:lineRule="exact"/>
    </w:pPr>
    <w:rPr>
      <w:rFonts w:ascii="Arial" w:hAnsi="Arial"/>
      <w:color w:val="000000" w:themeColor="text1"/>
      <w:spacing w:val="-4"/>
      <w:sz w:val="20"/>
    </w:rPr>
  </w:style>
  <w:style w:type="paragraph" w:customStyle="1" w:styleId="Callout2">
    <w:name w:val="Call out 2"/>
    <w:basedOn w:val="Normal"/>
    <w:pPr>
      <w:keepNext/>
      <w:keepLines/>
      <w:spacing w:before="120" w:after="120" w:line="400" w:lineRule="exact"/>
    </w:pPr>
    <w:rPr>
      <w:rFonts w:ascii="Arial" w:hAnsi="Arial" w:cs="Times New Roman (Body CS)"/>
      <w:color w:val="009CA6"/>
      <w:spacing w:val="-6"/>
      <w:sz w:val="28"/>
    </w:rPr>
  </w:style>
  <w:style w:type="paragraph" w:customStyle="1" w:styleId="Callout">
    <w:name w:val="Callout"/>
    <w:pPr>
      <w:keepLines/>
      <w:pBdr>
        <w:top w:val="single" w:sz="12" w:space="1" w:color="009CA6"/>
        <w:left w:val="single" w:sz="12" w:space="4" w:color="009CA6"/>
        <w:bottom w:val="single" w:sz="12" w:space="1" w:color="009CA6"/>
        <w:right w:val="single" w:sz="12" w:space="4" w:color="009CA6"/>
      </w:pBdr>
      <w:shd w:val="clear" w:color="auto" w:fill="009CA6"/>
      <w:spacing w:before="240" w:after="240" w:line="400" w:lineRule="exact"/>
      <w:jc w:val="center"/>
    </w:pPr>
    <w:rPr>
      <w:rFonts w:ascii="Arial" w:hAnsi="Arial" w:cs="Times New Roman (Body CS)"/>
      <w:b/>
      <w:color w:val="FFFFFF" w:themeColor="background1"/>
      <w:sz w:val="24"/>
    </w:rPr>
  </w:style>
  <w:style w:type="paragraph" w:customStyle="1" w:styleId="Checkmark">
    <w:name w:val="Checkmark"/>
    <w:qFormat/>
    <w:pPr>
      <w:keepLines/>
      <w:spacing w:after="100" w:line="300" w:lineRule="exact"/>
    </w:pPr>
    <w:rPr>
      <w:rFonts w:ascii="Arial Bold" w:eastAsia="Times New Roman" w:hAnsi="Arial Bold" w:cs="Times New Roman"/>
      <w:b/>
      <w:color w:val="0079C2"/>
      <w:spacing w:val="10"/>
      <w:sz w:val="28"/>
      <w:szCs w:val="20"/>
    </w:rPr>
  </w:style>
  <w:style w:type="paragraph" w:styleId="Footer">
    <w:name w:val="footer"/>
    <w:link w:val="FooterChar"/>
    <w:uiPriority w:val="99"/>
    <w:pPr>
      <w:keepLines/>
      <w:spacing w:after="60" w:line="200" w:lineRule="exact"/>
    </w:pPr>
    <w:rPr>
      <w:rFonts w:ascii="Arial" w:eastAsia="Times New Roman" w:hAnsi="Arial" w:cs="Times New Roman"/>
      <w:color w:val="696969"/>
      <w:sz w:val="16"/>
      <w:szCs w:val="20"/>
    </w:rPr>
  </w:style>
  <w:style w:type="character" w:customStyle="1" w:styleId="FooterChar">
    <w:name w:val="Footer Char"/>
    <w:basedOn w:val="DefaultParagraphFont"/>
    <w:link w:val="Footer"/>
    <w:uiPriority w:val="99"/>
    <w:rPr>
      <w:rFonts w:ascii="Arial" w:eastAsia="Times New Roman" w:hAnsi="Arial" w:cs="Times New Roman"/>
      <w:color w:val="696969"/>
      <w:sz w:val="16"/>
      <w:szCs w:val="20"/>
    </w:rPr>
  </w:style>
  <w:style w:type="character" w:customStyle="1" w:styleId="Heading1Char">
    <w:name w:val="Heading 1 Char"/>
    <w:basedOn w:val="DefaultParagraphFont"/>
    <w:link w:val="Heading1"/>
    <w:uiPriority w:val="9"/>
    <w:rPr>
      <w:rFonts w:ascii="Arial" w:eastAsiaTheme="majorEastAsia" w:hAnsi="Arial" w:cs="Times New Roman (Headings CS)"/>
      <w:b/>
      <w:color w:val="0079C2"/>
      <w:spacing w:val="-6"/>
      <w:kern w:val="28"/>
      <w:sz w:val="36"/>
      <w:szCs w:val="32"/>
    </w:rPr>
  </w:style>
  <w:style w:type="character" w:customStyle="1" w:styleId="Heading2Char">
    <w:name w:val="Heading 2 Char"/>
    <w:basedOn w:val="DefaultParagraphFont"/>
    <w:link w:val="Heading2"/>
    <w:uiPriority w:val="9"/>
    <w:rPr>
      <w:rFonts w:ascii="Arial" w:eastAsiaTheme="majorEastAsia" w:hAnsi="Arial" w:cs="Times New Roman (Headings CS)"/>
      <w:b/>
      <w:color w:val="009CA6"/>
      <w:spacing w:val="-6"/>
      <w:sz w:val="32"/>
      <w:szCs w:val="26"/>
    </w:rPr>
  </w:style>
  <w:style w:type="character" w:customStyle="1" w:styleId="Heading3Char">
    <w:name w:val="Heading 3 Char"/>
    <w:basedOn w:val="DefaultParagraphFont"/>
    <w:link w:val="Heading3"/>
    <w:uiPriority w:val="9"/>
    <w:rPr>
      <w:rFonts w:ascii="Arial" w:eastAsiaTheme="majorEastAsia" w:hAnsi="Arial" w:cs="Times New Roman (Headings CS)"/>
      <w:b/>
      <w:color w:val="000000" w:themeColor="text1"/>
      <w:spacing w:val="-6"/>
      <w:sz w:val="28"/>
      <w:szCs w:val="24"/>
    </w:rPr>
  </w:style>
  <w:style w:type="character" w:customStyle="1" w:styleId="Heading4Char">
    <w:name w:val="Heading 4 Char"/>
    <w:basedOn w:val="DefaultParagraphFont"/>
    <w:link w:val="Heading4"/>
    <w:uiPriority w:val="9"/>
    <w:rPr>
      <w:rFonts w:ascii="Arial" w:eastAsiaTheme="majorEastAsia" w:hAnsi="Arial" w:cs="Times New Roman (Headings CS)"/>
      <w:b/>
      <w:iCs/>
      <w:color w:val="69B3E7"/>
      <w:spacing w:val="-6"/>
      <w:sz w:val="24"/>
    </w:rPr>
  </w:style>
  <w:style w:type="paragraph" w:customStyle="1" w:styleId="InstructionBody">
    <w:name w:val="Instruction Body"/>
    <w:qFormat/>
    <w:pPr>
      <w:keepLines/>
      <w:tabs>
        <w:tab w:val="left" w:pos="360"/>
        <w:tab w:val="left" w:pos="720"/>
        <w:tab w:val="left" w:pos="1080"/>
        <w:tab w:val="left" w:pos="1440"/>
        <w:tab w:val="left" w:pos="1800"/>
        <w:tab w:val="left" w:pos="2160"/>
      </w:tabs>
      <w:spacing w:line="260" w:lineRule="exact"/>
    </w:pPr>
    <w:rPr>
      <w:rFonts w:ascii="Arial" w:hAnsi="Arial"/>
      <w:color w:val="696969"/>
      <w:spacing w:val="-4"/>
      <w:sz w:val="20"/>
    </w:rPr>
  </w:style>
  <w:style w:type="paragraph" w:customStyle="1" w:styleId="InstructionBullet">
    <w:name w:val="Instruction Bullet"/>
    <w:pPr>
      <w:keepLines/>
      <w:numPr>
        <w:numId w:val="1"/>
      </w:numPr>
      <w:spacing w:after="40" w:line="260" w:lineRule="exact"/>
      <w:outlineLvl w:val="0"/>
    </w:pPr>
    <w:rPr>
      <w:rFonts w:ascii="Arial" w:hAnsi="Arial"/>
      <w:color w:val="696969"/>
      <w:spacing w:val="-4"/>
      <w:sz w:val="20"/>
    </w:rPr>
  </w:style>
  <w:style w:type="paragraph" w:customStyle="1" w:styleId="PageNumbersEven">
    <w:name w:val="Page Numbers Even"/>
    <w:pPr>
      <w:spacing w:after="200" w:line="240" w:lineRule="exact"/>
      <w:ind w:left="-1080"/>
    </w:pPr>
    <w:rPr>
      <w:rFonts w:ascii="Arial" w:eastAsia="Times New Roman" w:hAnsi="Arial" w:cs="Times New Roman"/>
      <w:color w:val="FFFFFF" w:themeColor="background1"/>
      <w:sz w:val="18"/>
      <w:szCs w:val="20"/>
    </w:rPr>
  </w:style>
  <w:style w:type="paragraph" w:customStyle="1" w:styleId="PageNumbersOdd">
    <w:name w:val="Page Numbers Odd"/>
    <w:pPr>
      <w:spacing w:after="200" w:line="240" w:lineRule="exact"/>
      <w:ind w:right="-1080"/>
      <w:jc w:val="right"/>
    </w:pPr>
    <w:rPr>
      <w:rFonts w:ascii="Arial" w:eastAsia="Times New Roman" w:hAnsi="Arial" w:cs="Times New Roman"/>
      <w:color w:val="FFFFFF" w:themeColor="background1"/>
      <w:sz w:val="18"/>
      <w:szCs w:val="18"/>
    </w:rPr>
  </w:style>
  <w:style w:type="paragraph" w:customStyle="1" w:styleId="QuestionBody">
    <w:name w:val="Question Body"/>
    <w:qFormat/>
    <w:pPr>
      <w:keepLines/>
      <w:numPr>
        <w:numId w:val="2"/>
      </w:numPr>
      <w:spacing w:after="60" w:line="260" w:lineRule="exact"/>
      <w:outlineLvl w:val="0"/>
    </w:pPr>
    <w:rPr>
      <w:rFonts w:ascii="Arial" w:hAnsi="Arial"/>
      <w:color w:val="696969"/>
      <w:spacing w:val="-4"/>
      <w:sz w:val="20"/>
    </w:rPr>
  </w:style>
  <w:style w:type="paragraph" w:customStyle="1" w:styleId="QuestionBodyAlphabet">
    <w:name w:val="Question Body Alphabet"/>
    <w:pPr>
      <w:keepLines/>
      <w:numPr>
        <w:numId w:val="3"/>
      </w:numPr>
      <w:spacing w:after="60" w:line="260" w:lineRule="exact"/>
      <w:outlineLvl w:val="0"/>
    </w:pPr>
    <w:rPr>
      <w:rFonts w:ascii="Arial" w:hAnsi="Arial"/>
      <w:color w:val="696969"/>
      <w:spacing w:val="-4"/>
      <w:sz w:val="20"/>
    </w:rPr>
  </w:style>
  <w:style w:type="paragraph" w:customStyle="1" w:styleId="QuestionBullet">
    <w:name w:val="Question Bullet"/>
    <w:pPr>
      <w:keepLines/>
      <w:numPr>
        <w:numId w:val="4"/>
      </w:numPr>
      <w:spacing w:after="60" w:line="260" w:lineRule="exact"/>
    </w:pPr>
    <w:rPr>
      <w:rFonts w:ascii="Arial" w:hAnsi="Arial"/>
      <w:color w:val="696969"/>
      <w:spacing w:val="-4"/>
      <w:sz w:val="20"/>
    </w:rPr>
  </w:style>
  <w:style w:type="paragraph" w:customStyle="1" w:styleId="SectionTitle">
    <w:name w:val="Section Title"/>
    <w:pPr>
      <w:pageBreakBefore/>
      <w:spacing w:after="1000" w:line="900" w:lineRule="exact"/>
      <w:ind w:right="432"/>
    </w:pPr>
    <w:rPr>
      <w:rFonts w:ascii="Arial" w:eastAsiaTheme="majorEastAsia" w:hAnsi="Arial" w:cs="Times New Roman (Headings CS)"/>
      <w:b/>
      <w:color w:val="FFFFFF" w:themeColor="background1"/>
      <w:spacing w:val="-10"/>
      <w:sz w:val="90"/>
      <w:szCs w:val="26"/>
    </w:rPr>
  </w:style>
  <w:style w:type="paragraph" w:customStyle="1" w:styleId="TableBody">
    <w:name w:val="Table Body"/>
    <w:link w:val="TableBodyChar"/>
    <w:qFormat/>
    <w:pPr>
      <w:keepLines/>
      <w:spacing w:before="20" w:after="40" w:line="260" w:lineRule="exact"/>
    </w:pPr>
    <w:rPr>
      <w:rFonts w:ascii="Arial" w:hAnsi="Arial"/>
      <w:color w:val="000000" w:themeColor="text1"/>
      <w:spacing w:val="-4"/>
      <w:sz w:val="20"/>
    </w:rPr>
  </w:style>
  <w:style w:type="paragraph" w:customStyle="1" w:styleId="TableBodyBullet">
    <w:name w:val="Table Body Bullet"/>
    <w:pPr>
      <w:keepLines/>
      <w:numPr>
        <w:numId w:val="14"/>
      </w:numPr>
      <w:spacing w:before="20" w:after="40" w:line="260" w:lineRule="exact"/>
    </w:pPr>
    <w:rPr>
      <w:rFonts w:ascii="Arial" w:hAnsi="Arial"/>
      <w:color w:val="000000" w:themeColor="text1"/>
      <w:spacing w:val="-4"/>
      <w:sz w:val="20"/>
    </w:rPr>
  </w:style>
  <w:style w:type="paragraph" w:customStyle="1" w:styleId="TableBodyInstructionIndent">
    <w:name w:val="Table Body Instruction Indent"/>
    <w:pPr>
      <w:keepLines/>
      <w:spacing w:before="20" w:after="40" w:line="260" w:lineRule="exact"/>
      <w:ind w:left="360"/>
    </w:pPr>
    <w:rPr>
      <w:rFonts w:ascii="Arial" w:hAnsi="Arial"/>
      <w:color w:val="696969"/>
      <w:spacing w:val="-4"/>
      <w:sz w:val="20"/>
    </w:rPr>
  </w:style>
  <w:style w:type="paragraph" w:customStyle="1" w:styleId="TableBodyInstructionNumbering">
    <w:name w:val="Table Body Instruction Numbering"/>
    <w:pPr>
      <w:keepLines/>
      <w:numPr>
        <w:numId w:val="15"/>
      </w:numPr>
      <w:spacing w:after="60" w:line="260" w:lineRule="exact"/>
    </w:pPr>
    <w:rPr>
      <w:rFonts w:ascii="Arial" w:hAnsi="Arial"/>
      <w:color w:val="696969"/>
      <w:spacing w:val="-4"/>
      <w:sz w:val="20"/>
    </w:rPr>
  </w:style>
  <w:style w:type="paragraph" w:customStyle="1" w:styleId="TableBodyInstructions">
    <w:name w:val="Table Body Instructions"/>
    <w:qFormat/>
    <w:pPr>
      <w:keepLines/>
      <w:spacing w:before="20" w:after="40" w:line="260" w:lineRule="exact"/>
    </w:pPr>
    <w:rPr>
      <w:rFonts w:ascii="Arial" w:hAnsi="Arial"/>
      <w:color w:val="696969"/>
      <w:spacing w:val="-4"/>
      <w:sz w:val="20"/>
    </w:rPr>
  </w:style>
  <w:style w:type="paragraph" w:customStyle="1" w:styleId="TableBodyInstructionsBullet">
    <w:name w:val="Table Body Instructions Bullet"/>
    <w:pPr>
      <w:keepLines/>
      <w:numPr>
        <w:numId w:val="16"/>
      </w:numPr>
      <w:spacing w:after="60" w:line="260" w:lineRule="exact"/>
    </w:pPr>
    <w:rPr>
      <w:rFonts w:ascii="Arial" w:hAnsi="Arial"/>
      <w:color w:val="696969"/>
      <w:spacing w:val="-4"/>
      <w:sz w:val="20"/>
    </w:rPr>
  </w:style>
  <w:style w:type="paragraph" w:customStyle="1" w:styleId="TableBodyInstructionsSmall">
    <w:name w:val="Table Body Instructions Small"/>
    <w:pPr>
      <w:keepLines/>
      <w:spacing w:before="20" w:after="40" w:line="200" w:lineRule="exact"/>
    </w:pPr>
    <w:rPr>
      <w:rFonts w:ascii="Arial" w:hAnsi="Arial"/>
      <w:color w:val="696969"/>
      <w:spacing w:val="-4"/>
      <w:sz w:val="16"/>
    </w:rPr>
  </w:style>
  <w:style w:type="paragraph" w:customStyle="1" w:styleId="TableBodyNumbering">
    <w:name w:val="Table Body Numbering"/>
    <w:pPr>
      <w:keepLines/>
      <w:numPr>
        <w:numId w:val="17"/>
      </w:numPr>
      <w:spacing w:before="20" w:after="40" w:line="260" w:lineRule="exact"/>
    </w:pPr>
    <w:rPr>
      <w:rFonts w:ascii="Arial" w:hAnsi="Arial"/>
      <w:color w:val="000000" w:themeColor="text1"/>
      <w:spacing w:val="-4"/>
      <w:sz w:val="20"/>
    </w:rPr>
  </w:style>
  <w:style w:type="paragraph" w:customStyle="1" w:styleId="TableBodySmall">
    <w:name w:val="Table Body Small"/>
    <w:pPr>
      <w:keepLines/>
      <w:spacing w:before="20" w:after="40" w:line="260" w:lineRule="exact"/>
    </w:pPr>
    <w:rPr>
      <w:rFonts w:ascii="Arial" w:hAnsi="Arial"/>
      <w:color w:val="000000" w:themeColor="text1"/>
      <w:spacing w:val="-4"/>
      <w:sz w:val="16"/>
    </w:rPr>
  </w:style>
  <w:style w:type="paragraph" w:customStyle="1" w:styleId="TableBodyWhite">
    <w:name w:val="Table Body White"/>
    <w:pPr>
      <w:keepLines/>
      <w:spacing w:before="20" w:after="40" w:line="260" w:lineRule="exact"/>
    </w:pPr>
    <w:rPr>
      <w:rFonts w:ascii="Arial" w:hAnsi="Arial"/>
      <w:color w:val="FFFFFF" w:themeColor="background1"/>
      <w:spacing w:val="-4"/>
      <w:sz w:val="20"/>
    </w:rPr>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
    <w:name w:val="Table Header"/>
    <w:qFormat/>
    <w:pPr>
      <w:keepLines/>
      <w:spacing w:before="40" w:after="0" w:line="240" w:lineRule="auto"/>
    </w:pPr>
    <w:rPr>
      <w:rFonts w:ascii="Arial" w:hAnsi="Arial" w:cs="Times New Roman (Body CS)"/>
      <w:b/>
      <w:color w:val="0079C2"/>
      <w:sz w:val="20"/>
    </w:rPr>
  </w:style>
  <w:style w:type="paragraph" w:customStyle="1" w:styleId="TableHeader2">
    <w:name w:val="Table Header 2"/>
    <w:pPr>
      <w:keepLines/>
      <w:spacing w:before="40" w:after="0" w:line="240" w:lineRule="auto"/>
    </w:pPr>
    <w:rPr>
      <w:rFonts w:ascii="Arial" w:hAnsi="Arial" w:cs="Times New Roman (Body CS)"/>
      <w:b/>
      <w:color w:val="009CA6"/>
      <w:sz w:val="20"/>
    </w:rPr>
  </w:style>
  <w:style w:type="paragraph" w:customStyle="1" w:styleId="TableHeader2small">
    <w:name w:val="Table Header 2 small"/>
    <w:pPr>
      <w:keepLines/>
      <w:spacing w:before="40" w:after="0" w:line="240" w:lineRule="auto"/>
    </w:pPr>
    <w:rPr>
      <w:rFonts w:ascii="Arial" w:hAnsi="Arial" w:cs="Times New Roman (Body CS)"/>
      <w:b/>
      <w:color w:val="009CA6"/>
      <w:sz w:val="16"/>
    </w:rPr>
  </w:style>
  <w:style w:type="paragraph" w:customStyle="1" w:styleId="TableHeader3">
    <w:name w:val="Table Header 3"/>
    <w:pPr>
      <w:keepLines/>
      <w:spacing w:before="40" w:after="0" w:line="240" w:lineRule="auto"/>
    </w:pPr>
    <w:rPr>
      <w:rFonts w:ascii="Arial" w:hAnsi="Arial" w:cs="Times New Roman (Body CS)"/>
      <w:b/>
      <w:color w:val="000000" w:themeColor="text1"/>
      <w:sz w:val="20"/>
    </w:rPr>
  </w:style>
  <w:style w:type="paragraph" w:customStyle="1" w:styleId="TableHeader3Small">
    <w:name w:val="Table Header 3 Small"/>
    <w:pPr>
      <w:keepLines/>
      <w:spacing w:before="40" w:after="0" w:line="240" w:lineRule="auto"/>
    </w:pPr>
    <w:rPr>
      <w:rFonts w:ascii="Arial" w:hAnsi="Arial" w:cs="Times New Roman (Body CS)"/>
      <w:b/>
      <w:color w:val="000000" w:themeColor="text1"/>
      <w:sz w:val="16"/>
    </w:rPr>
  </w:style>
  <w:style w:type="paragraph" w:customStyle="1" w:styleId="TableHeadersmall">
    <w:name w:val="Table Header small"/>
    <w:pPr>
      <w:keepLines/>
      <w:spacing w:before="40" w:after="0" w:line="240" w:lineRule="auto"/>
    </w:pPr>
    <w:rPr>
      <w:rFonts w:ascii="Arial" w:hAnsi="Arial" w:cs="Times New Roman (Body CS)"/>
      <w:b/>
      <w:color w:val="0079C2"/>
      <w:sz w:val="16"/>
    </w:rPr>
  </w:style>
  <w:style w:type="paragraph" w:customStyle="1" w:styleId="TableHeaderWhite">
    <w:name w:val="Table Header White"/>
    <w:qFormat/>
    <w:pPr>
      <w:keepLines/>
      <w:spacing w:before="40" w:after="0" w:line="240" w:lineRule="auto"/>
    </w:pPr>
    <w:rPr>
      <w:rFonts w:ascii="Arial" w:hAnsi="Arial" w:cs="Times New Roman (Body CS)"/>
      <w:b/>
      <w:color w:val="FFFFFF" w:themeColor="background1"/>
      <w:sz w:val="20"/>
    </w:rPr>
  </w:style>
  <w:style w:type="paragraph" w:customStyle="1" w:styleId="TableBodyIndent">
    <w:name w:val="Table Body Indent"/>
    <w:pPr>
      <w:keepLines/>
      <w:spacing w:before="20" w:after="40" w:line="260" w:lineRule="exact"/>
      <w:ind w:left="360"/>
    </w:pPr>
    <w:rPr>
      <w:rFonts w:ascii="Arial" w:hAnsi="Arial"/>
      <w:color w:val="000000" w:themeColor="text1"/>
      <w:spacing w:val="-4"/>
      <w:sz w:val="20"/>
    </w:rPr>
  </w:style>
  <w:style w:type="paragraph" w:customStyle="1" w:styleId="tableheadersmall0">
    <w:name w:val="table header small"/>
    <w:pPr>
      <w:keepLines/>
      <w:spacing w:before="40" w:after="0" w:line="240" w:lineRule="auto"/>
    </w:pPr>
    <w:rPr>
      <w:rFonts w:ascii="Arial" w:hAnsi="Arial" w:cs="Times New Roman (Body CS)"/>
      <w:b/>
      <w:color w:val="0079C2"/>
      <w:sz w:val="16"/>
    </w:rPr>
  </w:style>
  <w:style w:type="paragraph" w:customStyle="1" w:styleId="SMEcallout">
    <w:name w:val="SME callout"/>
    <w:pPr>
      <w:keepLines/>
      <w:spacing w:before="240" w:line="260" w:lineRule="exact"/>
    </w:pPr>
    <w:rPr>
      <w:rFonts w:ascii="Arial Bold" w:hAnsi="Arial Bold"/>
      <w:b/>
      <w:color w:val="FF0000"/>
      <w:sz w:val="24"/>
    </w:r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character" w:customStyle="1" w:styleId="BulletChar">
    <w:name w:val="Bullet Char"/>
    <w:basedOn w:val="DefaultParagraphFont"/>
    <w:link w:val="Bullet"/>
    <w:rsid w:val="00A53330"/>
    <w:rPr>
      <w:rFonts w:ascii="Arial" w:hAnsi="Arial"/>
      <w:color w:val="000000" w:themeColor="text1"/>
      <w:spacing w:val="-4"/>
      <w:sz w:val="20"/>
    </w:rPr>
  </w:style>
  <w:style w:type="paragraph" w:styleId="NormalWeb">
    <w:name w:val="Normal (Web)"/>
    <w:basedOn w:val="Normal"/>
    <w:uiPriority w:val="99"/>
    <w:semiHidden/>
    <w:unhideWhenUsed/>
    <w:rsid w:val="00A53330"/>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A53330"/>
    <w:pPr>
      <w:ind w:left="720"/>
      <w:contextualSpacing/>
    </w:pPr>
  </w:style>
  <w:style w:type="character" w:styleId="CommentReference">
    <w:name w:val="annotation reference"/>
    <w:basedOn w:val="DefaultParagraphFont"/>
    <w:uiPriority w:val="99"/>
    <w:semiHidden/>
    <w:unhideWhenUsed/>
    <w:rsid w:val="00A53330"/>
    <w:rPr>
      <w:sz w:val="16"/>
      <w:szCs w:val="16"/>
    </w:rPr>
  </w:style>
  <w:style w:type="paragraph" w:styleId="CommentText">
    <w:name w:val="annotation text"/>
    <w:basedOn w:val="Normal"/>
    <w:link w:val="CommentTextChar"/>
    <w:uiPriority w:val="99"/>
    <w:unhideWhenUsed/>
    <w:rsid w:val="00A53330"/>
    <w:pPr>
      <w:spacing w:line="240" w:lineRule="auto"/>
    </w:pPr>
    <w:rPr>
      <w:sz w:val="20"/>
      <w:szCs w:val="20"/>
    </w:rPr>
  </w:style>
  <w:style w:type="character" w:customStyle="1" w:styleId="CommentTextChar">
    <w:name w:val="Comment Text Char"/>
    <w:basedOn w:val="DefaultParagraphFont"/>
    <w:link w:val="CommentText"/>
    <w:uiPriority w:val="99"/>
    <w:rsid w:val="00A53330"/>
    <w:rPr>
      <w:rFonts w:eastAsiaTheme="minorEastAsia"/>
      <w:sz w:val="20"/>
      <w:szCs w:val="20"/>
    </w:rPr>
  </w:style>
  <w:style w:type="paragraph" w:styleId="BalloonText">
    <w:name w:val="Balloon Text"/>
    <w:basedOn w:val="Normal"/>
    <w:link w:val="BalloonTextChar"/>
    <w:uiPriority w:val="99"/>
    <w:semiHidden/>
    <w:unhideWhenUsed/>
    <w:rsid w:val="00A5333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53330"/>
    <w:rPr>
      <w:rFonts w:ascii="Segoe UI" w:eastAsiaTheme="minorEastAsia" w:hAnsi="Segoe UI" w:cs="Segoe UI"/>
      <w:sz w:val="18"/>
      <w:szCs w:val="18"/>
    </w:rPr>
  </w:style>
  <w:style w:type="paragraph" w:styleId="CommentSubject">
    <w:name w:val="annotation subject"/>
    <w:basedOn w:val="CommentText"/>
    <w:next w:val="CommentText"/>
    <w:link w:val="CommentSubjectChar"/>
    <w:uiPriority w:val="99"/>
    <w:semiHidden/>
    <w:unhideWhenUsed/>
    <w:rsid w:val="0022714B"/>
    <w:rPr>
      <w:b/>
      <w:bCs/>
    </w:rPr>
  </w:style>
  <w:style w:type="character" w:customStyle="1" w:styleId="CommentSubjectChar">
    <w:name w:val="Comment Subject Char"/>
    <w:basedOn w:val="CommentTextChar"/>
    <w:link w:val="CommentSubject"/>
    <w:uiPriority w:val="99"/>
    <w:semiHidden/>
    <w:rsid w:val="0022714B"/>
    <w:rPr>
      <w:rFonts w:eastAsiaTheme="minorEastAsia"/>
      <w:b/>
      <w:bCs/>
      <w:sz w:val="20"/>
      <w:szCs w:val="20"/>
    </w:rPr>
  </w:style>
  <w:style w:type="table" w:customStyle="1" w:styleId="TableGrid1">
    <w:name w:val="Table Grid1"/>
    <w:basedOn w:val="TableNormal"/>
    <w:next w:val="TableGrid"/>
    <w:uiPriority w:val="39"/>
    <w:rsid w:val="009F5F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0453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
    <w:name w:val="Body Text2"/>
    <w:basedOn w:val="Normal"/>
    <w:link w:val="BodytextChar"/>
    <w:rsid w:val="000C64EE"/>
    <w:pPr>
      <w:spacing w:after="160" w:line="260" w:lineRule="exact"/>
    </w:pPr>
    <w:rPr>
      <w:rFonts w:ascii="Arial" w:eastAsia="Times New Roman" w:hAnsi="Arial" w:cs="Times New Roman"/>
      <w:color w:val="1C1C1C"/>
      <w:spacing w:val="-4"/>
      <w:sz w:val="20"/>
      <w:szCs w:val="20"/>
    </w:rPr>
  </w:style>
  <w:style w:type="character" w:customStyle="1" w:styleId="BodytextChar">
    <w:name w:val="Body text Char"/>
    <w:basedOn w:val="DefaultParagraphFont"/>
    <w:link w:val="BodyText2"/>
    <w:rsid w:val="000C64EE"/>
    <w:rPr>
      <w:rFonts w:ascii="Arial" w:eastAsia="Times New Roman" w:hAnsi="Arial" w:cs="Times New Roman"/>
      <w:color w:val="1C1C1C"/>
      <w:spacing w:val="-4"/>
      <w:sz w:val="20"/>
      <w:szCs w:val="20"/>
    </w:rPr>
  </w:style>
  <w:style w:type="paragraph" w:customStyle="1" w:styleId="Default">
    <w:name w:val="Default"/>
    <w:rsid w:val="000C64EE"/>
    <w:pPr>
      <w:autoSpaceDE w:val="0"/>
      <w:autoSpaceDN w:val="0"/>
      <w:adjustRightInd w:val="0"/>
      <w:spacing w:after="0" w:line="240" w:lineRule="auto"/>
    </w:pPr>
    <w:rPr>
      <w:rFonts w:ascii="Symbol" w:hAnsi="Symbol" w:cs="Symbol"/>
      <w:color w:val="000000"/>
      <w:sz w:val="24"/>
      <w:szCs w:val="24"/>
    </w:rPr>
  </w:style>
  <w:style w:type="paragraph" w:customStyle="1" w:styleId="JacksHeading1">
    <w:name w:val="Jack's Heading 1"/>
    <w:basedOn w:val="Heading2"/>
    <w:link w:val="JacksHeading1Char"/>
    <w:qFormat/>
    <w:rsid w:val="000C64EE"/>
    <w:pPr>
      <w:spacing w:before="200" w:after="0" w:line="276" w:lineRule="auto"/>
    </w:pPr>
    <w:rPr>
      <w:rFonts w:ascii="Arial Narrow" w:hAnsi="Arial Narrow" w:cstheme="majorBidi"/>
      <w:bCs/>
      <w:color w:val="5D9674"/>
      <w:spacing w:val="6"/>
      <w:szCs w:val="32"/>
    </w:rPr>
  </w:style>
  <w:style w:type="character" w:customStyle="1" w:styleId="JacksHeading1Char">
    <w:name w:val="Jack's Heading 1 Char"/>
    <w:basedOn w:val="Heading2Char"/>
    <w:link w:val="JacksHeading1"/>
    <w:rsid w:val="000C64EE"/>
    <w:rPr>
      <w:rFonts w:ascii="Arial Narrow" w:eastAsiaTheme="majorEastAsia" w:hAnsi="Arial Narrow" w:cstheme="majorBidi"/>
      <w:b/>
      <w:bCs/>
      <w:color w:val="5D9674"/>
      <w:spacing w:val="6"/>
      <w:sz w:val="32"/>
      <w:szCs w:val="32"/>
    </w:rPr>
  </w:style>
  <w:style w:type="character" w:styleId="Hyperlink">
    <w:name w:val="Hyperlink"/>
    <w:basedOn w:val="DefaultParagraphFont"/>
    <w:uiPriority w:val="99"/>
    <w:unhideWhenUsed/>
    <w:rsid w:val="00A53865"/>
    <w:rPr>
      <w:color w:val="0563C1" w:themeColor="hyperlink"/>
      <w:u w:val="single"/>
    </w:rPr>
  </w:style>
  <w:style w:type="character" w:customStyle="1" w:styleId="TableBodyChar">
    <w:name w:val="Table Body Char"/>
    <w:basedOn w:val="DefaultParagraphFont"/>
    <w:link w:val="TableBody"/>
    <w:locked/>
    <w:rsid w:val="00791DE9"/>
    <w:rPr>
      <w:rFonts w:ascii="Arial" w:hAnsi="Arial"/>
      <w:color w:val="000000" w:themeColor="text1"/>
      <w:spacing w:val="-4"/>
      <w:sz w:val="20"/>
    </w:rPr>
  </w:style>
  <w:style w:type="paragraph" w:styleId="BodyText">
    <w:name w:val="Body Text"/>
    <w:basedOn w:val="Normal"/>
    <w:link w:val="BodyTextChar0"/>
    <w:rsid w:val="00791DE9"/>
    <w:pPr>
      <w:keepLines/>
      <w:tabs>
        <w:tab w:val="left" w:pos="360"/>
        <w:tab w:val="left" w:pos="720"/>
        <w:tab w:val="left" w:pos="1080"/>
        <w:tab w:val="left" w:pos="1440"/>
        <w:tab w:val="left" w:pos="1800"/>
        <w:tab w:val="left" w:pos="2160"/>
      </w:tabs>
      <w:spacing w:line="260" w:lineRule="exact"/>
    </w:pPr>
    <w:rPr>
      <w:rFonts w:ascii="Arial" w:hAnsi="Arial"/>
      <w:color w:val="000000" w:themeColor="text1"/>
      <w:spacing w:val="-4"/>
      <w:sz w:val="20"/>
    </w:rPr>
  </w:style>
  <w:style w:type="character" w:customStyle="1" w:styleId="BodyTextChar0">
    <w:name w:val="Body Text Char"/>
    <w:basedOn w:val="DefaultParagraphFont"/>
    <w:link w:val="BodyText"/>
    <w:rsid w:val="00791DE9"/>
    <w:rPr>
      <w:rFonts w:ascii="Arial" w:eastAsiaTheme="minorEastAsia" w:hAnsi="Arial"/>
      <w:color w:val="000000" w:themeColor="text1"/>
      <w:spacing w:val="-4"/>
      <w:sz w:val="20"/>
    </w:rPr>
  </w:style>
  <w:style w:type="paragraph" w:customStyle="1" w:styleId="TableParagraph">
    <w:name w:val="Table Paragraph"/>
    <w:basedOn w:val="Normal"/>
    <w:uiPriority w:val="1"/>
    <w:qFormat/>
    <w:rsid w:val="00C36705"/>
    <w:pPr>
      <w:widowControl w:val="0"/>
      <w:autoSpaceDE w:val="0"/>
      <w:autoSpaceDN w:val="0"/>
      <w:spacing w:after="0" w:line="240" w:lineRule="auto"/>
      <w:ind w:left="108"/>
    </w:pPr>
    <w:rPr>
      <w:rFonts w:ascii="Arial" w:eastAsia="Arial" w:hAnsi="Arial" w:cs="Arial"/>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6533069">
      <w:bodyDiv w:val="1"/>
      <w:marLeft w:val="0"/>
      <w:marRight w:val="0"/>
      <w:marTop w:val="0"/>
      <w:marBottom w:val="0"/>
      <w:divBdr>
        <w:top w:val="none" w:sz="0" w:space="0" w:color="auto"/>
        <w:left w:val="none" w:sz="0" w:space="0" w:color="auto"/>
        <w:bottom w:val="none" w:sz="0" w:space="0" w:color="auto"/>
        <w:right w:val="none" w:sz="0" w:space="0" w:color="auto"/>
      </w:divBdr>
    </w:div>
    <w:div w:id="544678783">
      <w:bodyDiv w:val="1"/>
      <w:marLeft w:val="0"/>
      <w:marRight w:val="0"/>
      <w:marTop w:val="0"/>
      <w:marBottom w:val="0"/>
      <w:divBdr>
        <w:top w:val="none" w:sz="0" w:space="0" w:color="auto"/>
        <w:left w:val="none" w:sz="0" w:space="0" w:color="auto"/>
        <w:bottom w:val="none" w:sz="0" w:space="0" w:color="auto"/>
        <w:right w:val="none" w:sz="0" w:space="0" w:color="auto"/>
      </w:divBdr>
    </w:div>
    <w:div w:id="666902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C94265\Desktop\2020%20Templates\2020%20Proposal%20Template_Portrait.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30F618B6EC0064998ADD9654B6BD085" ma:contentTypeVersion="12" ma:contentTypeDescription="Create a new document." ma:contentTypeScope="" ma:versionID="f3f9c6c7308284554dcb99d8a4579d4c">
  <xsd:schema xmlns:xsd="http://www.w3.org/2001/XMLSchema" xmlns:xs="http://www.w3.org/2001/XMLSchema" xmlns:p="http://schemas.microsoft.com/office/2006/metadata/properties" xmlns:ns3="dccefe53-cff5-441f-9994-93f27e137bbb" xmlns:ns4="28c3b7eb-895d-4b34-993d-00828e176962" targetNamespace="http://schemas.microsoft.com/office/2006/metadata/properties" ma:root="true" ma:fieldsID="469fded8d380a26a0d0117791b8b6fb9" ns3:_="" ns4:_="">
    <xsd:import namespace="dccefe53-cff5-441f-9994-93f27e137bbb"/>
    <xsd:import namespace="28c3b7eb-895d-4b34-993d-00828e176962"/>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cefe53-cff5-441f-9994-93f27e137b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8c3b7eb-895d-4b34-993d-00828e176962"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3E1CC47-8077-44CC-8901-209C1F42D4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cefe53-cff5-441f-9994-93f27e137bbb"/>
    <ds:schemaRef ds:uri="28c3b7eb-895d-4b34-993d-00828e1769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78CB6DF-372C-4105-8233-7BFF71EEE726}">
  <ds:schemaRefs>
    <ds:schemaRef ds:uri="http://purl.org/dc/terms/"/>
    <ds:schemaRef ds:uri="http://schemas.openxmlformats.org/package/2006/metadata/core-properties"/>
    <ds:schemaRef ds:uri="http://purl.org/dc/dcmitype/"/>
    <ds:schemaRef ds:uri="http://schemas.microsoft.com/office/infopath/2007/PartnerControls"/>
    <ds:schemaRef ds:uri="28c3b7eb-895d-4b34-993d-00828e176962"/>
    <ds:schemaRef ds:uri="http://purl.org/dc/elements/1.1/"/>
    <ds:schemaRef ds:uri="http://schemas.microsoft.com/office/2006/metadata/properties"/>
    <ds:schemaRef ds:uri="http://schemas.microsoft.com/office/2006/documentManagement/types"/>
    <ds:schemaRef ds:uri="dccefe53-cff5-441f-9994-93f27e137bbb"/>
    <ds:schemaRef ds:uri="http://www.w3.org/XML/1998/namespace"/>
  </ds:schemaRefs>
</ds:datastoreItem>
</file>

<file path=customXml/itemProps3.xml><?xml version="1.0" encoding="utf-8"?>
<ds:datastoreItem xmlns:ds="http://schemas.openxmlformats.org/officeDocument/2006/customXml" ds:itemID="{3AC3C7C9-D205-4E0E-868F-63FE266A92F9}">
  <ds:schemaRefs>
    <ds:schemaRef ds:uri="http://schemas.openxmlformats.org/officeDocument/2006/bibliography"/>
  </ds:schemaRefs>
</ds:datastoreItem>
</file>

<file path=customXml/itemProps4.xml><?xml version="1.0" encoding="utf-8"?>
<ds:datastoreItem xmlns:ds="http://schemas.openxmlformats.org/officeDocument/2006/customXml" ds:itemID="{7A5B08D2-E74E-4381-A5C0-A04161FCBEA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2020 Proposal Template_Portrait</Template>
  <TotalTime>1</TotalTime>
  <Pages>6</Pages>
  <Words>1592</Words>
  <Characters>9077</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JTLNBEAP</vt:lpstr>
    </vt:vector>
  </TitlesOfParts>
  <Company/>
  <LinksUpToDate>false</LinksUpToDate>
  <CharactersWithSpaces>10648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JTLNBEAP</dc:title>
  <dc:subject/>
  <dc:creator>Jack.Terry@anthem.com</dc:creator>
  <cp:keywords/>
  <dc:description/>
  <cp:lastModifiedBy>Davidson, Traci</cp:lastModifiedBy>
  <cp:revision>2</cp:revision>
  <dcterms:created xsi:type="dcterms:W3CDTF">2021-03-10T21:03:00Z</dcterms:created>
  <dcterms:modified xsi:type="dcterms:W3CDTF">2021-03-10T21:03:00Z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0x010100930F618B6EC0064998ADD9654B6BD085</vt:lpwstr>
  </property>
</Properties>
</file>